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ECC" w:rsidRDefault="006D7ECC" w:rsidP="006D7ECC">
      <w:pPr>
        <w:jc w:val="center"/>
        <w:rPr>
          <w:rFonts w:ascii="Times New Roman" w:hAnsi="Times New Roman" w:cs="Times New Roman"/>
          <w:b/>
          <w:sz w:val="24"/>
          <w:szCs w:val="24"/>
        </w:rPr>
      </w:pPr>
      <w:r w:rsidRPr="000D66D3">
        <w:rPr>
          <w:rFonts w:ascii="Times New Roman" w:hAnsi="Times New Roman" w:cs="Times New Roman"/>
          <w:b/>
          <w:sz w:val="24"/>
          <w:szCs w:val="24"/>
        </w:rPr>
        <w:t xml:space="preserve">INFORME DE PONENCIA PARA PRIMER DEBATE AL PROYECTO DE LEY NÚMERO </w:t>
      </w:r>
      <w:r w:rsidR="00767CA5">
        <w:rPr>
          <w:rFonts w:ascii="Times New Roman" w:hAnsi="Times New Roman" w:cs="Times New Roman"/>
          <w:b/>
          <w:sz w:val="24"/>
          <w:szCs w:val="24"/>
        </w:rPr>
        <w:t>282</w:t>
      </w:r>
      <w:r w:rsidRPr="000D66D3">
        <w:rPr>
          <w:rFonts w:ascii="Times New Roman" w:hAnsi="Times New Roman" w:cs="Times New Roman"/>
          <w:b/>
          <w:sz w:val="24"/>
          <w:szCs w:val="24"/>
        </w:rPr>
        <w:t xml:space="preserve"> DE 20</w:t>
      </w:r>
      <w:r w:rsidR="009B0E53">
        <w:rPr>
          <w:rFonts w:ascii="Times New Roman" w:hAnsi="Times New Roman" w:cs="Times New Roman"/>
          <w:b/>
          <w:sz w:val="24"/>
          <w:szCs w:val="24"/>
        </w:rPr>
        <w:t>20</w:t>
      </w:r>
      <w:r w:rsidRPr="000D66D3">
        <w:rPr>
          <w:rFonts w:ascii="Times New Roman" w:hAnsi="Times New Roman" w:cs="Times New Roman"/>
          <w:b/>
          <w:sz w:val="24"/>
          <w:szCs w:val="24"/>
        </w:rPr>
        <w:t xml:space="preserve"> CÁMARA</w:t>
      </w:r>
    </w:p>
    <w:p w:rsidR="006D7ECC" w:rsidRDefault="006D7ECC" w:rsidP="006D7ECC">
      <w:pPr>
        <w:jc w:val="center"/>
        <w:rPr>
          <w:rFonts w:ascii="Times New Roman" w:hAnsi="Times New Roman" w:cs="Times New Roman"/>
          <w:sz w:val="24"/>
          <w:szCs w:val="24"/>
        </w:rPr>
      </w:pPr>
      <w:r w:rsidRPr="000D66D3">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p>
    <w:p w:rsidR="006D7ECC" w:rsidRPr="00AE3761" w:rsidRDefault="006D7ECC" w:rsidP="006D7ECC">
      <w:pPr>
        <w:jc w:val="both"/>
        <w:rPr>
          <w:rFonts w:ascii="Times New Roman" w:hAnsi="Times New Roman" w:cs="Times New Roman"/>
          <w:sz w:val="24"/>
          <w:szCs w:val="24"/>
        </w:rPr>
      </w:pPr>
    </w:p>
    <w:p w:rsidR="006D7ECC" w:rsidRPr="00AE3761" w:rsidRDefault="006D7ECC" w:rsidP="006D7ECC">
      <w:pPr>
        <w:jc w:val="both"/>
        <w:rPr>
          <w:rFonts w:ascii="Times New Roman" w:hAnsi="Times New Roman" w:cs="Times New Roman"/>
          <w:sz w:val="24"/>
          <w:szCs w:val="24"/>
        </w:rPr>
      </w:pPr>
      <w:r>
        <w:rPr>
          <w:rFonts w:ascii="Times New Roman" w:hAnsi="Times New Roman" w:cs="Times New Roman"/>
          <w:sz w:val="24"/>
          <w:szCs w:val="24"/>
        </w:rPr>
        <w:t xml:space="preserve">Bogotá, D.C, septiembre </w:t>
      </w:r>
      <w:r w:rsidR="0011133A">
        <w:rPr>
          <w:rFonts w:ascii="Times New Roman" w:hAnsi="Times New Roman" w:cs="Times New Roman"/>
          <w:sz w:val="24"/>
          <w:szCs w:val="24"/>
        </w:rPr>
        <w:t>21</w:t>
      </w:r>
      <w:r w:rsidRPr="00AE3761">
        <w:rPr>
          <w:rFonts w:ascii="Times New Roman" w:hAnsi="Times New Roman" w:cs="Times New Roman"/>
          <w:sz w:val="24"/>
          <w:szCs w:val="24"/>
        </w:rPr>
        <w:t xml:space="preserve"> de</w:t>
      </w:r>
      <w:r>
        <w:rPr>
          <w:rFonts w:ascii="Times New Roman" w:hAnsi="Times New Roman" w:cs="Times New Roman"/>
          <w:sz w:val="24"/>
          <w:szCs w:val="24"/>
        </w:rPr>
        <w:t>l</w:t>
      </w:r>
      <w:r w:rsidRPr="00AE3761">
        <w:rPr>
          <w:rFonts w:ascii="Times New Roman" w:hAnsi="Times New Roman" w:cs="Times New Roman"/>
          <w:sz w:val="24"/>
          <w:szCs w:val="24"/>
        </w:rPr>
        <w:t xml:space="preserve"> 20</w:t>
      </w:r>
      <w:r w:rsidR="0011133A">
        <w:rPr>
          <w:rFonts w:ascii="Times New Roman" w:hAnsi="Times New Roman" w:cs="Times New Roman"/>
          <w:sz w:val="24"/>
          <w:szCs w:val="24"/>
        </w:rPr>
        <w:t>20</w:t>
      </w:r>
    </w:p>
    <w:p w:rsidR="006D7ECC" w:rsidRPr="00AE3761" w:rsidRDefault="006D7ECC" w:rsidP="006D7ECC">
      <w:pPr>
        <w:jc w:val="both"/>
        <w:rPr>
          <w:rFonts w:ascii="Times New Roman" w:hAnsi="Times New Roman" w:cs="Times New Roman"/>
          <w:sz w:val="24"/>
          <w:szCs w:val="24"/>
        </w:rPr>
      </w:pPr>
    </w:p>
    <w:p w:rsidR="006D7ECC" w:rsidRPr="00AE3761" w:rsidRDefault="006D7ECC" w:rsidP="006D7ECC">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rsidR="006D7ECC" w:rsidRPr="00AE3761" w:rsidRDefault="006D7ECC" w:rsidP="006D7ECC">
      <w:pPr>
        <w:pStyle w:val="Sinespaciado"/>
        <w:jc w:val="both"/>
        <w:rPr>
          <w:rFonts w:ascii="Times New Roman" w:hAnsi="Times New Roman" w:cs="Times New Roman"/>
          <w:b/>
          <w:sz w:val="24"/>
          <w:szCs w:val="24"/>
        </w:rPr>
      </w:pPr>
      <w:r>
        <w:rPr>
          <w:rFonts w:ascii="Times New Roman" w:hAnsi="Times New Roman" w:cs="Times New Roman"/>
          <w:b/>
          <w:sz w:val="24"/>
          <w:szCs w:val="24"/>
        </w:rPr>
        <w:t>ALFREDO RAFAEL DELUQUE ZULETA</w:t>
      </w:r>
    </w:p>
    <w:p w:rsidR="006D7ECC" w:rsidRPr="00AE3761" w:rsidRDefault="006D7ECC" w:rsidP="006D7ECC">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rsidR="006D7ECC" w:rsidRPr="00AE3761" w:rsidRDefault="006D7ECC" w:rsidP="006D7ECC">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rsidR="006D7ECC" w:rsidRPr="00AE3761" w:rsidRDefault="006D7ECC" w:rsidP="006D7ECC">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rsidR="006D7ECC" w:rsidRPr="00AE3761" w:rsidRDefault="006D7ECC" w:rsidP="006D7ECC">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6D7ECC" w:rsidRPr="00AE3761" w:rsidRDefault="006D7ECC" w:rsidP="006D7ECC">
      <w:pPr>
        <w:pStyle w:val="Sinespaciado"/>
        <w:jc w:val="both"/>
        <w:rPr>
          <w:rFonts w:ascii="Times New Roman" w:hAnsi="Times New Roman" w:cs="Times New Roman"/>
          <w:sz w:val="24"/>
          <w:szCs w:val="24"/>
        </w:rPr>
      </w:pPr>
    </w:p>
    <w:p w:rsidR="006D7ECC" w:rsidRPr="00AE3761" w:rsidRDefault="006D7ECC" w:rsidP="006D7ECC">
      <w:pPr>
        <w:pStyle w:val="Sinespaciado"/>
        <w:jc w:val="both"/>
        <w:rPr>
          <w:rFonts w:ascii="Times New Roman" w:hAnsi="Times New Roman" w:cs="Times New Roman"/>
          <w:sz w:val="24"/>
          <w:szCs w:val="24"/>
        </w:rPr>
      </w:pPr>
    </w:p>
    <w:p w:rsidR="006D7ECC" w:rsidRPr="00AE3761" w:rsidRDefault="006D7ECC" w:rsidP="006D7ECC">
      <w:pPr>
        <w:pStyle w:val="Default"/>
        <w:jc w:val="both"/>
        <w:rPr>
          <w:rFonts w:ascii="Times New Roman" w:hAnsi="Times New Roman" w:cs="Times New Roman"/>
          <w:color w:val="auto"/>
        </w:rPr>
      </w:pPr>
    </w:p>
    <w:p w:rsidR="006D7ECC" w:rsidRPr="00AE3761" w:rsidRDefault="006D7ECC" w:rsidP="006D7ECC">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282 de 2020</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0D66D3">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p>
    <w:p w:rsidR="006D7ECC" w:rsidRPr="00AE3761" w:rsidRDefault="006D7ECC" w:rsidP="006D7ECC">
      <w:pPr>
        <w:pStyle w:val="Sinespaciado"/>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6D7ECC" w:rsidRPr="00AE3761" w:rsidRDefault="006D7ECC" w:rsidP="006D7ECC">
      <w:pPr>
        <w:pStyle w:val="Sinespaciado"/>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282 de 2020</w:t>
      </w:r>
      <w:r w:rsidRPr="00AE3761">
        <w:rPr>
          <w:rFonts w:ascii="Times New Roman" w:hAnsi="Times New Roman" w:cs="Times New Roman"/>
          <w:b/>
          <w:bCs/>
          <w:sz w:val="24"/>
          <w:szCs w:val="24"/>
        </w:rPr>
        <w:t xml:space="preserve"> cámara, </w:t>
      </w:r>
      <w:r w:rsidRPr="000D66D3">
        <w:rPr>
          <w:rFonts w:ascii="Times New Roman" w:hAnsi="Times New Roman" w:cs="Times New Roman"/>
          <w:i/>
          <w:sz w:val="24"/>
          <w:szCs w:val="24"/>
          <w:u w:val="single"/>
          <w:lang w:val="es-ES_tradnl"/>
        </w:rPr>
        <w:t>“por el cual se crea la declaración de conocimiento, acogimiento y aceptación de la Constitución Política de Colombia y se dictan otras disposiciones relacionadas”</w:t>
      </w:r>
    </w:p>
    <w:p w:rsidR="006D7ECC" w:rsidRPr="00AE3761" w:rsidRDefault="006D7ECC" w:rsidP="006D7ECC">
      <w:pPr>
        <w:pStyle w:val="Sinespaciado"/>
        <w:jc w:val="both"/>
        <w:rPr>
          <w:rFonts w:ascii="Times New Roman" w:hAnsi="Times New Roman" w:cs="Times New Roman"/>
          <w:i/>
          <w:sz w:val="24"/>
          <w:szCs w:val="24"/>
          <w:u w:val="single"/>
          <w:lang w:val="es-ES_tradnl"/>
        </w:rPr>
      </w:pPr>
    </w:p>
    <w:p w:rsidR="006D7ECC" w:rsidRPr="00AE3761" w:rsidRDefault="006D7ECC" w:rsidP="006D7ECC">
      <w:pPr>
        <w:pStyle w:val="Sinespaciado"/>
        <w:jc w:val="both"/>
        <w:rPr>
          <w:rFonts w:ascii="Times New Roman" w:hAnsi="Times New Roman" w:cs="Times New Roman"/>
          <w:sz w:val="24"/>
          <w:szCs w:val="24"/>
          <w:u w:val="single"/>
          <w:lang w:val="es-ES_tradnl"/>
        </w:rPr>
      </w:pPr>
    </w:p>
    <w:p w:rsidR="006D7ECC" w:rsidRPr="00AE3761" w:rsidRDefault="006D7ECC" w:rsidP="006D7ECC">
      <w:pPr>
        <w:pStyle w:val="Sinespaciado"/>
        <w:jc w:val="both"/>
        <w:rPr>
          <w:rFonts w:ascii="Times New Roman" w:hAnsi="Times New Roman" w:cs="Times New Roman"/>
          <w:sz w:val="24"/>
          <w:szCs w:val="24"/>
          <w:u w:val="single"/>
          <w:lang w:val="es-ES_tradnl"/>
        </w:rPr>
      </w:pPr>
    </w:p>
    <w:p w:rsidR="006D7ECC" w:rsidRPr="00AE3761" w:rsidRDefault="006D7ECC" w:rsidP="006D7ECC">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6D7ECC" w:rsidRDefault="006D7ECC" w:rsidP="006D7ECC">
      <w:pPr>
        <w:pStyle w:val="Sinespaciado"/>
        <w:ind w:left="567"/>
        <w:jc w:val="both"/>
        <w:rPr>
          <w:rFonts w:ascii="Times New Roman" w:hAnsi="Times New Roman" w:cs="Times New Roman"/>
          <w:b/>
          <w:sz w:val="24"/>
          <w:szCs w:val="24"/>
          <w:u w:val="single"/>
          <w:lang w:val="es-ES_tradnl"/>
        </w:rPr>
      </w:pPr>
    </w:p>
    <w:p w:rsidR="006D7ECC" w:rsidRPr="00AE3761" w:rsidRDefault="006D7ECC" w:rsidP="006D7ECC">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rsidR="006D7ECC" w:rsidRDefault="006D7ECC" w:rsidP="006D7ECC">
      <w:pPr>
        <w:pStyle w:val="Sinespaciado"/>
        <w:ind w:left="567"/>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27 de agosto del 2020 presenté junto al H.R. Edward David Rodríguez Rodríguez, en calidad de autores, el Proyecto de L</w:t>
      </w:r>
      <w:r w:rsidRPr="00AE3761">
        <w:rPr>
          <w:rFonts w:ascii="Times New Roman" w:hAnsi="Times New Roman" w:cs="Times New Roman"/>
          <w:sz w:val="24"/>
          <w:szCs w:val="24"/>
        </w:rPr>
        <w:t xml:space="preserve">ey número </w:t>
      </w:r>
      <w:r>
        <w:rPr>
          <w:rFonts w:ascii="Times New Roman" w:hAnsi="Times New Roman" w:cs="Times New Roman"/>
          <w:sz w:val="24"/>
          <w:szCs w:val="24"/>
        </w:rPr>
        <w:t xml:space="preserve">282 de 2020, </w:t>
      </w:r>
      <w:r w:rsidRPr="00AE3761">
        <w:rPr>
          <w:rFonts w:ascii="Times New Roman" w:hAnsi="Times New Roman" w:cs="Times New Roman"/>
          <w:sz w:val="24"/>
          <w:szCs w:val="24"/>
        </w:rPr>
        <w:t xml:space="preserve">ante la </w:t>
      </w:r>
      <w:r>
        <w:rPr>
          <w:rFonts w:ascii="Times New Roman" w:hAnsi="Times New Roman" w:cs="Times New Roman"/>
          <w:sz w:val="24"/>
          <w:szCs w:val="24"/>
        </w:rPr>
        <w:lastRenderedPageBreak/>
        <w:t>Secretaría General de la Cámara de Representantes</w:t>
      </w:r>
      <w:r w:rsidRPr="00AE3761">
        <w:rPr>
          <w:rFonts w:ascii="Times New Roman" w:hAnsi="Times New Roman" w:cs="Times New Roman"/>
          <w:sz w:val="24"/>
          <w:szCs w:val="24"/>
        </w:rPr>
        <w:t>, con su correspond</w:t>
      </w:r>
      <w:r>
        <w:rPr>
          <w:rFonts w:ascii="Times New Roman" w:hAnsi="Times New Roman" w:cs="Times New Roman"/>
          <w:sz w:val="24"/>
          <w:szCs w:val="24"/>
        </w:rPr>
        <w:t>iente exposición de motivos.</w:t>
      </w:r>
    </w:p>
    <w:p w:rsidR="006D7ECC" w:rsidRDefault="006D7ECC" w:rsidP="006D7ECC">
      <w:pPr>
        <w:pStyle w:val="Sinespaciado"/>
        <w:ind w:left="567"/>
        <w:jc w:val="both"/>
        <w:rPr>
          <w:rFonts w:ascii="Times New Roman" w:hAnsi="Times New Roman" w:cs="Times New Roman"/>
          <w:sz w:val="24"/>
          <w:szCs w:val="24"/>
        </w:rPr>
      </w:pPr>
    </w:p>
    <w:p w:rsidR="006D7ECC" w:rsidRPr="006D7ECC" w:rsidRDefault="006D7ECC" w:rsidP="006D7ECC">
      <w:pPr>
        <w:pStyle w:val="Sinespaciado"/>
        <w:ind w:left="567"/>
        <w:jc w:val="both"/>
        <w:rPr>
          <w:rFonts w:ascii="Times New Roman" w:hAnsi="Times New Roman" w:cs="Times New Roman"/>
          <w:sz w:val="24"/>
          <w:szCs w:val="24"/>
        </w:rPr>
      </w:pPr>
      <w:r w:rsidRPr="006D7ECC">
        <w:rPr>
          <w:rFonts w:ascii="Times New Roman" w:hAnsi="Times New Roman" w:cs="Times New Roman"/>
          <w:sz w:val="24"/>
          <w:szCs w:val="24"/>
        </w:rPr>
        <w:t>El 07 de septiembre del 2020, esta iniciativa fue recibida por la Secretaría de la Comisión Primera Constitucional Permanente de la Cámara de Representantes, y posteriormente, el 12 de septiembre, fui designada como ponente para primer debate de este proyecto, por la presidencia de la misma.</w:t>
      </w:r>
    </w:p>
    <w:p w:rsidR="006D7ECC" w:rsidRPr="00AE3761" w:rsidRDefault="006D7ECC" w:rsidP="006D7ECC">
      <w:pPr>
        <w:pStyle w:val="Sinespaciado"/>
        <w:ind w:left="567"/>
        <w:jc w:val="both"/>
        <w:rPr>
          <w:rFonts w:ascii="Times New Roman" w:hAnsi="Times New Roman" w:cs="Times New Roman"/>
          <w:b/>
          <w:sz w:val="24"/>
          <w:szCs w:val="24"/>
          <w:u w:val="single"/>
          <w:lang w:val="es-ES_tradnl"/>
        </w:rPr>
      </w:pPr>
    </w:p>
    <w:p w:rsidR="006D7ECC" w:rsidRPr="00AE3761" w:rsidRDefault="006D7ECC" w:rsidP="006D7ECC">
      <w:pPr>
        <w:pStyle w:val="Sinespaciado"/>
        <w:jc w:val="both"/>
        <w:rPr>
          <w:rFonts w:ascii="Times New Roman" w:hAnsi="Times New Roman" w:cs="Times New Roman"/>
          <w:b/>
          <w:sz w:val="24"/>
          <w:szCs w:val="24"/>
          <w:u w:val="single"/>
          <w:lang w:val="es-ES_tradnl"/>
        </w:rPr>
      </w:pPr>
    </w:p>
    <w:p w:rsidR="006D7ECC" w:rsidRPr="00AE3761" w:rsidRDefault="006D7ECC" w:rsidP="006D7ECC">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6D7ECC" w:rsidRPr="00AE3761" w:rsidRDefault="006D7ECC" w:rsidP="006D7ECC">
      <w:pPr>
        <w:pStyle w:val="Sinespaciado"/>
        <w:ind w:left="720"/>
        <w:jc w:val="both"/>
        <w:rPr>
          <w:rFonts w:ascii="Times New Roman" w:hAnsi="Times New Roman" w:cs="Times New Roman"/>
          <w:b/>
          <w:sz w:val="24"/>
          <w:szCs w:val="24"/>
          <w:u w:val="single"/>
          <w:lang w:val="es-ES_tradnl"/>
        </w:rPr>
      </w:pPr>
    </w:p>
    <w:p w:rsidR="006D7ECC" w:rsidRPr="00AE3761" w:rsidRDefault="006D7ECC" w:rsidP="006D7ECC">
      <w:pPr>
        <w:pStyle w:val="Sinespaciado"/>
        <w:ind w:left="720"/>
        <w:jc w:val="both"/>
        <w:rPr>
          <w:rFonts w:ascii="Times New Roman" w:hAnsi="Times New Roman" w:cs="Times New Roman"/>
          <w:b/>
          <w:sz w:val="24"/>
          <w:szCs w:val="24"/>
          <w:u w:val="single"/>
          <w:lang w:val="es-ES_tradnl"/>
        </w:rPr>
      </w:pPr>
    </w:p>
    <w:p w:rsidR="006D7ECC" w:rsidRDefault="006D7ECC" w:rsidP="006D7ECC">
      <w:pPr>
        <w:jc w:val="both"/>
        <w:rPr>
          <w:rFonts w:ascii="Times New Roman" w:eastAsia="Times New Roman" w:hAnsi="Times New Roman" w:cs="Times New Roman"/>
          <w:sz w:val="24"/>
          <w:szCs w:val="24"/>
          <w:lang w:eastAsia="es-CO"/>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w:t>
      </w:r>
      <w:r w:rsidRPr="000D66D3">
        <w:rPr>
          <w:rFonts w:ascii="Times New Roman" w:hAnsi="Times New Roman" w:cs="Times New Roman"/>
          <w:sz w:val="24"/>
          <w:szCs w:val="24"/>
        </w:rPr>
        <w:t xml:space="preserve">tiene por objeto crear un procedimiento por cual se declare el conocimiento, el acogimiento y la aceptación de la Constitución Política como </w:t>
      </w:r>
      <w:r w:rsidRPr="006D7ECC">
        <w:rPr>
          <w:rFonts w:ascii="Times New Roman" w:hAnsi="Times New Roman" w:cs="Times New Roman"/>
          <w:sz w:val="24"/>
          <w:szCs w:val="24"/>
        </w:rPr>
        <w:t>acto previo y voluntario al momento de obtener la Cédula de Ciudadanía.</w:t>
      </w:r>
    </w:p>
    <w:p w:rsidR="006D7ECC" w:rsidRPr="00AE3761" w:rsidRDefault="006D7ECC" w:rsidP="006D7ECC">
      <w:pPr>
        <w:jc w:val="both"/>
        <w:rPr>
          <w:rFonts w:ascii="Times New Roman" w:eastAsia="Times New Roman" w:hAnsi="Times New Roman" w:cs="Times New Roman"/>
          <w:sz w:val="24"/>
          <w:szCs w:val="24"/>
          <w:lang w:eastAsia="es-CO"/>
        </w:rPr>
      </w:pPr>
    </w:p>
    <w:p w:rsidR="006D7ECC" w:rsidRDefault="006D7ECC" w:rsidP="006D7ECC">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rsidR="006D7ECC" w:rsidRDefault="006D7ECC" w:rsidP="006D7ECC">
      <w:pPr>
        <w:pStyle w:val="Sinespaciado"/>
        <w:jc w:val="both"/>
        <w:rPr>
          <w:rFonts w:ascii="Times New Roman" w:hAnsi="Times New Roman" w:cs="Times New Roman"/>
          <w:b/>
          <w:sz w:val="24"/>
          <w:szCs w:val="24"/>
          <w:u w:val="single"/>
          <w:lang w:val="es-ES_tradnl"/>
        </w:rPr>
      </w:pPr>
    </w:p>
    <w:p w:rsidR="006D7ECC" w:rsidRDefault="006D7ECC" w:rsidP="006D7ECC">
      <w:pPr>
        <w:pStyle w:val="Sinespaciado"/>
        <w:jc w:val="both"/>
        <w:rPr>
          <w:rFonts w:ascii="Times New Roman" w:hAnsi="Times New Roman" w:cs="Times New Roman"/>
          <w:b/>
          <w:sz w:val="24"/>
          <w:szCs w:val="24"/>
          <w:u w:val="single"/>
          <w:lang w:val="es-ES_tradnl"/>
        </w:rPr>
      </w:pPr>
    </w:p>
    <w:p w:rsidR="006D7ECC" w:rsidRPr="00A160F1" w:rsidRDefault="006D7ECC" w:rsidP="006D7ECC">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rsidR="006D7ECC" w:rsidRPr="00AE3761" w:rsidRDefault="006D7ECC" w:rsidP="006D7ECC">
      <w:pPr>
        <w:pStyle w:val="Sinespaciado"/>
        <w:ind w:left="567"/>
        <w:jc w:val="both"/>
        <w:rPr>
          <w:rFonts w:ascii="Times New Roman" w:hAnsi="Times New Roman" w:cs="Times New Roman"/>
          <w:b/>
          <w:sz w:val="24"/>
          <w:szCs w:val="24"/>
          <w:u w:val="single"/>
          <w:lang w:val="es-ES_tradnl"/>
        </w:rPr>
      </w:pPr>
    </w:p>
    <w:p w:rsidR="006D7ECC" w:rsidRPr="00AE3761" w:rsidRDefault="006D7ECC" w:rsidP="006D7ECC">
      <w:pPr>
        <w:pStyle w:val="Sinespaciado"/>
        <w:ind w:left="567"/>
        <w:jc w:val="both"/>
        <w:rPr>
          <w:rFonts w:ascii="Times New Roman" w:hAnsi="Times New Roman" w:cs="Times New Roman"/>
          <w:b/>
          <w:sz w:val="24"/>
          <w:szCs w:val="24"/>
          <w:u w:val="single"/>
          <w:lang w:val="es-ES_tradnl"/>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1. Objeto. </w:t>
      </w:r>
      <w:r w:rsidRPr="006D7ECC">
        <w:rPr>
          <w:rFonts w:ascii="Times" w:hAnsi="Times" w:cs="Arial"/>
          <w:i/>
          <w:iCs/>
          <w:sz w:val="24"/>
          <w:szCs w:val="24"/>
        </w:rPr>
        <w:t>La presente ley tiene por objeto crear un procedimiento por cual se declare el conocimiento, el acogimiento y la aceptación de la Constitución Política como acto previo y voluntario al momento de obtener la Cédula de Ciudadanía.</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2. Definición. </w:t>
      </w:r>
      <w:r w:rsidRPr="006D7ECC">
        <w:rPr>
          <w:rFonts w:ascii="Times" w:hAnsi="Times" w:cs="Arial"/>
          <w:i/>
          <w:iCs/>
          <w:sz w:val="24"/>
          <w:szCs w:val="24"/>
        </w:rPr>
        <w:t>La Declaración de conocimiento, acogimiento y aceptación de la Constitución es un acto solemne en el que los ciudadanos declaran voluntariamente que son conscientes de los derechos y deberes emanados de la Carta Política y se obligan a respetarlos.</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3. Formulario de solicitud individual de cédula de ciudadanía. </w:t>
      </w:r>
      <w:r w:rsidRPr="006D7ECC">
        <w:rPr>
          <w:rFonts w:ascii="Times" w:hAnsi="Times" w:cs="Arial"/>
          <w:i/>
          <w:iCs/>
          <w:sz w:val="24"/>
          <w:szCs w:val="24"/>
        </w:rPr>
        <w:t xml:space="preserve">Antes de la expedición de la cédula de ciudadanía, el interesado deberá suscribir un formulario de solicitud. El formulario indicará la página web oficial donde se puede consultar el texto íntegro y actualizado de la Constitución Política de Colombia, y deberá contener antes de la firma la siguiente declaración: </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i/>
          <w:iCs/>
          <w:sz w:val="24"/>
          <w:szCs w:val="24"/>
        </w:rPr>
        <w:lastRenderedPageBreak/>
        <w:t>“Declaro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y libertades de las demás personas”.</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i/>
          <w:iCs/>
          <w:sz w:val="24"/>
          <w:szCs w:val="24"/>
        </w:rPr>
        <w:t>La firma puesta en este formulario se entiende plasmada bajo la gravedad del juramento.</w:t>
      </w:r>
    </w:p>
    <w:p w:rsidR="006D7ECC" w:rsidRPr="006D7ECC" w:rsidRDefault="006D7ECC" w:rsidP="006D7ECC">
      <w:pPr>
        <w:jc w:val="both"/>
        <w:rPr>
          <w:rFonts w:ascii="Times" w:hAnsi="Times" w:cs="Arial"/>
          <w:i/>
          <w:iCs/>
          <w:sz w:val="24"/>
          <w:szCs w:val="24"/>
        </w:rPr>
      </w:pPr>
    </w:p>
    <w:p w:rsidR="006D7ECC" w:rsidRDefault="006D7ECC" w:rsidP="006D7ECC">
      <w:pPr>
        <w:jc w:val="both"/>
        <w:rPr>
          <w:rFonts w:ascii="Times" w:hAnsi="Times" w:cs="Arial"/>
          <w:i/>
          <w:iCs/>
          <w:sz w:val="24"/>
          <w:szCs w:val="24"/>
        </w:rPr>
      </w:pPr>
      <w:r w:rsidRPr="006D7ECC">
        <w:rPr>
          <w:rFonts w:ascii="Times" w:hAnsi="Times" w:cs="Arial"/>
          <w:i/>
          <w:iCs/>
          <w:sz w:val="24"/>
          <w:szCs w:val="24"/>
        </w:rPr>
        <w:t>El formulario también deberá incluir un espacio en blanco en el que cada solicitante podrá plasmar, libre de apremio, sus observaciones y aun sus eventuales desacuerdos con el texto de la Constitución Política. Anualmente la Registraduría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i/>
          <w:iCs/>
          <w:sz w:val="24"/>
          <w:szCs w:val="24"/>
        </w:rPr>
        <w:t>El formulario será gratuito.</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ARTÍCULO 4. Entrega de la cédula de ciudadanía.</w:t>
      </w:r>
      <w:r w:rsidRPr="006D7ECC">
        <w:rPr>
          <w:rFonts w:ascii="Times" w:hAnsi="Times" w:cs="Arial"/>
          <w:i/>
          <w:iCs/>
          <w:sz w:val="24"/>
          <w:szCs w:val="24"/>
        </w:rPr>
        <w:t xml:space="preserve"> La entrega del documento de identidad al ciudadano, que llenare el formulario, se hará en ceremonia solemne, que podrá ser individual o colectiva, donde se tome el juramento y se recite de viva voz la declaración de aceptación y acogimiento a la Constitución Política. La Registraduría Nacional del Estado Civil deberá velar por que en esa ceremonia se le entregue a cada uno de los ciudadanos una copia gratuita de la Constitución Política, ya sea de forma física o digital.</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i/>
          <w:iCs/>
          <w:sz w:val="24"/>
          <w:szCs w:val="24"/>
        </w:rPr>
        <w:t>El Instituto Nacional para Ciegos y la Registraduría Nacional del Estado Civil entregarán un ejemplar de la Constitución apto para las personas con discapacidad visual.</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b/>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lastRenderedPageBreak/>
        <w:t xml:space="preserve">ARTÍCULO 5. Retroactividad de la ley. </w:t>
      </w:r>
      <w:r w:rsidRPr="006D7ECC">
        <w:rPr>
          <w:rFonts w:ascii="Times" w:hAnsi="Times" w:cs="Arial"/>
          <w:i/>
          <w:iCs/>
          <w:sz w:val="24"/>
          <w:szCs w:val="24"/>
        </w:rPr>
        <w:t>Si algún ciudadano que ya posea su cédula de ciudadanía desea hacer la Declaración, podrá hacerlo de forma gratuita en cualquier Registraduría.</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ARTÍCULO 6. Requisito para tomar posesión de cualquier cargo público</w:t>
      </w:r>
      <w:r w:rsidRPr="006D7ECC">
        <w:rPr>
          <w:rFonts w:ascii="Times" w:hAnsi="Times" w:cs="Arial"/>
          <w:i/>
          <w:iCs/>
          <w:sz w:val="24"/>
          <w:szCs w:val="24"/>
        </w:rPr>
        <w:t>. La Declaración será un requisito indispensable para tomar posesión de cualquier cargo como servidor público a partir de la vigencia de la presente ley.</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7. Declaración para las personas con discapacidad mayores de edad. </w:t>
      </w:r>
      <w:r w:rsidRPr="006D7ECC">
        <w:rPr>
          <w:rFonts w:ascii="Times" w:hAnsi="Times" w:cs="Arial"/>
          <w:i/>
          <w:iCs/>
          <w:sz w:val="24"/>
          <w:szCs w:val="24"/>
        </w:rPr>
        <w:t>Las personas mayores de edad en condición de discapacidad rendirán la declaración de la que trata la presente ley, conforme con los mecanismos establecidos legalmente en lo concerniente a los apoyos para la realización de actos jurídicos. La Registraduría Nacional del Estado Civil reglamentará la materia.</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8. Formulario para las personas con discapacidad visual. </w:t>
      </w:r>
      <w:r w:rsidRPr="006D7ECC">
        <w:rPr>
          <w:rFonts w:ascii="Times" w:hAnsi="Times" w:cs="Arial"/>
          <w:i/>
          <w:iCs/>
          <w:sz w:val="24"/>
          <w:szCs w:val="24"/>
        </w:rPr>
        <w:t>La Registraduría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i/>
          <w:iCs/>
          <w:sz w:val="24"/>
          <w:szCs w:val="24"/>
        </w:rPr>
        <w:t>El Instituto Nacional para Ciegos actualizará anualmente la Constitución disponible en esa biblioteca virtual.</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9. Declaración para las personas pertenecientes a comunidades étnicas que no se comunican en castellano. </w:t>
      </w:r>
      <w:r w:rsidRPr="006D7ECC">
        <w:rPr>
          <w:rFonts w:ascii="Times" w:hAnsi="Times" w:cs="Arial"/>
          <w:i/>
          <w:iCs/>
          <w:sz w:val="24"/>
          <w:szCs w:val="24"/>
        </w:rPr>
        <w:t>La declaración para las personas pertenecientes a comunidades étnicas que no se comunican en castellano sólo será obligatoria hasta tanto una ley posterior reglamente la materia para garantizar un enfoque diferencial.</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10. Extranjeros. </w:t>
      </w:r>
      <w:r w:rsidRPr="006D7ECC">
        <w:rPr>
          <w:rFonts w:ascii="Times" w:hAnsi="Times" w:cs="Arial"/>
          <w:i/>
          <w:iCs/>
          <w:sz w:val="24"/>
          <w:szCs w:val="24"/>
        </w:rPr>
        <w:t>Esta ley no aplica para los extranjeros que soliciten su naturalización en Colombia, que se regirá por lo dispuesto en la Ley 43 de 1993.</w:t>
      </w:r>
    </w:p>
    <w:p w:rsidR="006D7ECC" w:rsidRPr="006D7ECC" w:rsidRDefault="006D7ECC" w:rsidP="006D7ECC">
      <w:pPr>
        <w:jc w:val="both"/>
        <w:rPr>
          <w:rFonts w:ascii="Times" w:hAnsi="Times" w:cs="Arial"/>
          <w:i/>
          <w:iCs/>
          <w:sz w:val="24"/>
          <w:szCs w:val="24"/>
        </w:rPr>
      </w:pPr>
    </w:p>
    <w:p w:rsidR="006D7ECC" w:rsidRPr="006D7ECC" w:rsidRDefault="006D7ECC" w:rsidP="006D7ECC">
      <w:pPr>
        <w:jc w:val="both"/>
        <w:rPr>
          <w:rFonts w:ascii="Times" w:hAnsi="Times" w:cs="Arial"/>
          <w:i/>
          <w:iCs/>
          <w:sz w:val="24"/>
          <w:szCs w:val="24"/>
        </w:rPr>
      </w:pPr>
      <w:r w:rsidRPr="006D7ECC">
        <w:rPr>
          <w:rFonts w:ascii="Times" w:hAnsi="Times" w:cs="Arial"/>
          <w:b/>
          <w:i/>
          <w:iCs/>
          <w:sz w:val="24"/>
          <w:szCs w:val="24"/>
        </w:rPr>
        <w:t xml:space="preserve">ARTÍCULO 11. Vigencia. </w:t>
      </w:r>
      <w:r w:rsidRPr="006D7ECC">
        <w:rPr>
          <w:rFonts w:ascii="Times" w:hAnsi="Times" w:cs="Arial"/>
          <w:i/>
          <w:iCs/>
          <w:sz w:val="24"/>
          <w:szCs w:val="24"/>
        </w:rPr>
        <w:t>La presente ley empezará a regir seis (6) meses después de su sanción y publicación.</w:t>
      </w:r>
    </w:p>
    <w:p w:rsidR="006D7ECC" w:rsidRPr="00AE3761" w:rsidRDefault="006D7ECC" w:rsidP="006D7ECC">
      <w:pPr>
        <w:pStyle w:val="Sinespaciado"/>
        <w:jc w:val="both"/>
        <w:rPr>
          <w:rFonts w:ascii="Times New Roman" w:hAnsi="Times New Roman" w:cs="Times New Roman"/>
          <w:b/>
          <w:sz w:val="24"/>
          <w:szCs w:val="24"/>
          <w:u w:val="single"/>
          <w:lang w:val="es-ES_tradnl"/>
        </w:rPr>
      </w:pPr>
    </w:p>
    <w:p w:rsidR="006D7ECC" w:rsidRPr="006D7ECC" w:rsidRDefault="006D7ECC" w:rsidP="006D7ECC">
      <w:pPr>
        <w:pStyle w:val="Prrafodelista"/>
        <w:numPr>
          <w:ilvl w:val="0"/>
          <w:numId w:val="1"/>
        </w:numPr>
        <w:jc w:val="both"/>
        <w:rPr>
          <w:rFonts w:ascii="Times New Roman" w:eastAsia="Times New Roman" w:hAnsi="Times New Roman" w:cs="Times New Roman"/>
          <w:i/>
          <w:sz w:val="24"/>
          <w:szCs w:val="24"/>
          <w:lang w:eastAsia="es-CO"/>
        </w:rPr>
      </w:pPr>
      <w:r>
        <w:rPr>
          <w:rFonts w:ascii="Times New Roman" w:eastAsia="Times New Roman" w:hAnsi="Times New Roman" w:cs="Times New Roman"/>
          <w:b/>
          <w:sz w:val="24"/>
          <w:szCs w:val="24"/>
          <w:u w:val="single"/>
          <w:lang w:eastAsia="es-CO"/>
        </w:rPr>
        <w:t>ANTECEDENTES</w:t>
      </w:r>
    </w:p>
    <w:p w:rsidR="006D7ECC" w:rsidRDefault="006D7ECC" w:rsidP="006D7ECC">
      <w:pPr>
        <w:pStyle w:val="Prrafodelista"/>
        <w:jc w:val="both"/>
        <w:rPr>
          <w:rFonts w:ascii="Times New Roman" w:hAnsi="Times New Roman" w:cs="Times New Roman"/>
          <w:sz w:val="24"/>
        </w:rPr>
      </w:pPr>
    </w:p>
    <w:p w:rsidR="006D7ECC" w:rsidRDefault="006D7ECC" w:rsidP="006D7ECC">
      <w:pPr>
        <w:pStyle w:val="Prrafodelista"/>
        <w:numPr>
          <w:ilvl w:val="0"/>
          <w:numId w:val="3"/>
        </w:numPr>
        <w:jc w:val="both"/>
        <w:rPr>
          <w:rFonts w:ascii="Times New Roman" w:hAnsi="Times New Roman" w:cs="Times New Roman"/>
          <w:sz w:val="24"/>
        </w:rPr>
      </w:pPr>
      <w:r w:rsidRPr="009E653E">
        <w:rPr>
          <w:rFonts w:ascii="Times New Roman" w:hAnsi="Times New Roman" w:cs="Times New Roman"/>
          <w:b/>
          <w:bCs/>
          <w:sz w:val="24"/>
        </w:rPr>
        <w:t xml:space="preserve">Proyecto de </w:t>
      </w:r>
      <w:r>
        <w:rPr>
          <w:rFonts w:ascii="Times New Roman" w:hAnsi="Times New Roman" w:cs="Times New Roman"/>
          <w:b/>
          <w:bCs/>
          <w:sz w:val="24"/>
        </w:rPr>
        <w:t>Ley</w:t>
      </w:r>
      <w:r w:rsidRPr="009E653E">
        <w:rPr>
          <w:rFonts w:ascii="Times New Roman" w:hAnsi="Times New Roman" w:cs="Times New Roman"/>
          <w:b/>
          <w:bCs/>
          <w:sz w:val="24"/>
        </w:rPr>
        <w:t xml:space="preserve"> número </w:t>
      </w:r>
      <w:r>
        <w:rPr>
          <w:rFonts w:ascii="Times New Roman" w:hAnsi="Times New Roman" w:cs="Times New Roman"/>
          <w:b/>
          <w:bCs/>
          <w:sz w:val="24"/>
        </w:rPr>
        <w:t>140</w:t>
      </w:r>
      <w:r w:rsidRPr="009E653E">
        <w:rPr>
          <w:rFonts w:ascii="Times New Roman" w:hAnsi="Times New Roman" w:cs="Times New Roman"/>
          <w:b/>
          <w:bCs/>
          <w:sz w:val="24"/>
        </w:rPr>
        <w:t xml:space="preserve"> de 2019</w:t>
      </w:r>
      <w:r>
        <w:rPr>
          <w:rFonts w:ascii="Times New Roman" w:hAnsi="Times New Roman" w:cs="Times New Roman"/>
          <w:sz w:val="24"/>
        </w:rPr>
        <w:t xml:space="preserve">, </w:t>
      </w:r>
      <w:r w:rsidRPr="006D7ECC">
        <w:rPr>
          <w:rFonts w:ascii="Times New Roman" w:hAnsi="Times New Roman" w:cs="Times New Roman"/>
          <w:sz w:val="24"/>
        </w:rPr>
        <w:t>por el cual se crea la declaración de conocimiento, acogimiento y aceptación de la Constitución Política de Colombia y se dictan otras disposiciones relacionadas</w:t>
      </w:r>
      <w:r>
        <w:rPr>
          <w:rFonts w:ascii="Times New Roman" w:hAnsi="Times New Roman" w:cs="Times New Roman"/>
          <w:sz w:val="24"/>
        </w:rPr>
        <w:t xml:space="preserve">; el cual fue archivado. </w:t>
      </w:r>
    </w:p>
    <w:p w:rsidR="006D7ECC" w:rsidRDefault="006D7ECC" w:rsidP="006D7ECC">
      <w:pPr>
        <w:pStyle w:val="Prrafodelista"/>
        <w:ind w:left="1440"/>
        <w:jc w:val="both"/>
        <w:rPr>
          <w:rFonts w:ascii="Times New Roman" w:hAnsi="Times New Roman" w:cs="Times New Roman"/>
          <w:sz w:val="24"/>
        </w:rPr>
      </w:pPr>
    </w:p>
    <w:p w:rsidR="006D7ECC" w:rsidRDefault="006D7ECC" w:rsidP="006D7ECC">
      <w:pPr>
        <w:pStyle w:val="Prrafodelista"/>
        <w:ind w:left="1440"/>
        <w:jc w:val="both"/>
        <w:rPr>
          <w:rFonts w:ascii="Times New Roman" w:hAnsi="Times New Roman" w:cs="Times New Roman"/>
          <w:sz w:val="24"/>
        </w:rPr>
      </w:pPr>
      <w:r w:rsidRPr="009E653E">
        <w:rPr>
          <w:rFonts w:ascii="Times New Roman" w:hAnsi="Times New Roman" w:cs="Times New Roman"/>
          <w:b/>
          <w:bCs/>
          <w:sz w:val="24"/>
        </w:rPr>
        <w:t>Autores:</w:t>
      </w:r>
      <w:r>
        <w:rPr>
          <w:rFonts w:ascii="Times New Roman" w:hAnsi="Times New Roman" w:cs="Times New Roman"/>
          <w:sz w:val="24"/>
        </w:rPr>
        <w:t xml:space="preserve"> </w:t>
      </w:r>
      <w:r w:rsidRPr="006B4A20">
        <w:rPr>
          <w:rFonts w:ascii="Times New Roman" w:hAnsi="Times New Roman" w:cs="Times New Roman"/>
          <w:sz w:val="24"/>
        </w:rPr>
        <w:t>Margarita María Restrepo Arango</w:t>
      </w:r>
      <w:r>
        <w:rPr>
          <w:rFonts w:ascii="Times New Roman" w:hAnsi="Times New Roman" w:cs="Times New Roman"/>
          <w:sz w:val="24"/>
        </w:rPr>
        <w:t xml:space="preserve"> y </w:t>
      </w:r>
      <w:r w:rsidRPr="006B4A20">
        <w:rPr>
          <w:rFonts w:ascii="Times New Roman" w:hAnsi="Times New Roman" w:cs="Times New Roman"/>
          <w:sz w:val="24"/>
        </w:rPr>
        <w:t>Rubén Darío Molano Piñeros</w:t>
      </w:r>
    </w:p>
    <w:p w:rsidR="006D7ECC" w:rsidRDefault="006D7ECC" w:rsidP="006D7ECC">
      <w:pPr>
        <w:pStyle w:val="Prrafodelista"/>
        <w:ind w:left="1440"/>
        <w:jc w:val="both"/>
        <w:rPr>
          <w:rFonts w:ascii="Times New Roman" w:hAnsi="Times New Roman" w:cs="Times New Roman"/>
          <w:sz w:val="24"/>
        </w:rPr>
      </w:pPr>
      <w:r w:rsidRPr="006B4A20">
        <w:rPr>
          <w:rFonts w:ascii="Times New Roman" w:hAnsi="Times New Roman" w:cs="Times New Roman"/>
          <w:sz w:val="24"/>
        </w:rPr>
        <w:t xml:space="preserve"> </w:t>
      </w:r>
    </w:p>
    <w:p w:rsidR="006D7ECC" w:rsidRDefault="006D7ECC" w:rsidP="006D7ECC">
      <w:pPr>
        <w:pStyle w:val="Prrafodelista"/>
        <w:ind w:left="1440"/>
        <w:jc w:val="both"/>
        <w:rPr>
          <w:rFonts w:ascii="Times New Roman" w:hAnsi="Times New Roman" w:cs="Times New Roman"/>
          <w:sz w:val="24"/>
        </w:rPr>
      </w:pPr>
    </w:p>
    <w:p w:rsidR="006D7ECC" w:rsidRPr="00AE3761" w:rsidRDefault="006D7ECC" w:rsidP="006D7ECC">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6D7ECC" w:rsidRPr="00AE3761" w:rsidRDefault="006D7ECC" w:rsidP="006D7ECC">
      <w:pPr>
        <w:pStyle w:val="Sinespaciado"/>
        <w:ind w:left="567"/>
        <w:jc w:val="both"/>
        <w:rPr>
          <w:rFonts w:ascii="Times New Roman" w:hAnsi="Times New Roman" w:cs="Times New Roman"/>
          <w:b/>
          <w:sz w:val="24"/>
          <w:szCs w:val="24"/>
          <w:u w:val="single"/>
          <w:lang w:val="es-ES_tradnl"/>
        </w:rPr>
      </w:pPr>
    </w:p>
    <w:p w:rsidR="006D7ECC" w:rsidRDefault="006D7ECC" w:rsidP="006D7ECC">
      <w:pPr>
        <w:jc w:val="both"/>
        <w:rPr>
          <w:rFonts w:ascii="Times New Roman" w:hAnsi="Times New Roman" w:cs="Times New Roman"/>
          <w:sz w:val="24"/>
          <w:szCs w:val="24"/>
          <w:shd w:val="clear" w:color="auto" w:fill="FFFFFF"/>
        </w:rPr>
      </w:pPr>
    </w:p>
    <w:p w:rsidR="000D214C" w:rsidRPr="006533C1" w:rsidRDefault="000D214C" w:rsidP="000D214C">
      <w:pPr>
        <w:jc w:val="both"/>
        <w:rPr>
          <w:rFonts w:ascii="Times" w:hAnsi="Times" w:cs="Arial"/>
        </w:rPr>
      </w:pPr>
      <w:r w:rsidRPr="006533C1">
        <w:rPr>
          <w:rFonts w:ascii="Times" w:hAnsi="Times" w:cs="Arial"/>
        </w:rPr>
        <w:t>Son muy pocos los colombianos que conocen la Constitución Política. Por ejemplo, en 2017 el 15,5% de los ciudadanos no conocían cuáles eran los mecanismos de participación ciudadana</w:t>
      </w:r>
      <w:r w:rsidRPr="006533C1">
        <w:rPr>
          <w:rStyle w:val="Refdenotaalpie"/>
          <w:rFonts w:ascii="Times" w:hAnsi="Times" w:cs="Arial"/>
        </w:rPr>
        <w:footnoteReference w:id="1"/>
      </w:r>
      <w:r w:rsidRPr="006533C1">
        <w:rPr>
          <w:rFonts w:ascii="Times" w:hAnsi="Times" w:cs="Arial"/>
        </w:rPr>
        <w:t>. Inclusive, algunos trabajos cualitativos han demostrado que los ciudadanos no conocen cuáles son sus derechos fundamentales</w:t>
      </w:r>
      <w:r w:rsidRPr="006533C1">
        <w:rPr>
          <w:rStyle w:val="Refdenotaalpie"/>
          <w:rFonts w:ascii="Times" w:hAnsi="Times" w:cs="Arial"/>
        </w:rPr>
        <w:footnoteReference w:id="2"/>
      </w:r>
      <w:r w:rsidRPr="006533C1">
        <w:rPr>
          <w:rFonts w:ascii="Times" w:hAnsi="Times" w:cs="Arial"/>
        </w:rPr>
        <w:t xml:space="preserve"> </w:t>
      </w:r>
      <w:r w:rsidRPr="006533C1">
        <w:rPr>
          <w:rStyle w:val="Refdenotaalpie"/>
          <w:rFonts w:ascii="Times" w:hAnsi="Times" w:cs="Arial"/>
        </w:rPr>
        <w:footnoteReference w:id="3"/>
      </w:r>
      <w:r w:rsidRPr="006533C1">
        <w:rPr>
          <w:rFonts w:ascii="Times" w:hAnsi="Times" w:cs="Arial"/>
        </w:rPr>
        <w:t xml:space="preserve"> y como pueden reclamar su protección</w:t>
      </w:r>
      <w:r w:rsidRPr="006533C1">
        <w:rPr>
          <w:rStyle w:val="Refdenotaalpie"/>
          <w:rFonts w:ascii="Times" w:hAnsi="Times" w:cs="Arial"/>
        </w:rPr>
        <w:footnoteReference w:id="4"/>
      </w:r>
      <w:r w:rsidRPr="006533C1">
        <w:rPr>
          <w:rFonts w:ascii="Times" w:hAnsi="Times" w:cs="Arial"/>
        </w:rPr>
        <w:t>. Esto a pesar de que la Constitución Política de 1991 lleva vigente 2</w:t>
      </w:r>
      <w:r>
        <w:rPr>
          <w:rFonts w:ascii="Times" w:hAnsi="Times" w:cs="Arial"/>
        </w:rPr>
        <w:t>9</w:t>
      </w:r>
      <w:r w:rsidRPr="006533C1">
        <w:rPr>
          <w:rFonts w:ascii="Times" w:hAnsi="Times" w:cs="Arial"/>
        </w:rPr>
        <w:t xml:space="preserve"> años.</w:t>
      </w:r>
    </w:p>
    <w:p w:rsidR="000D214C" w:rsidRPr="006533C1" w:rsidRDefault="000D214C" w:rsidP="000D214C">
      <w:pPr>
        <w:jc w:val="both"/>
        <w:rPr>
          <w:rFonts w:ascii="Times" w:hAnsi="Times" w:cs="Arial"/>
        </w:rPr>
      </w:pPr>
      <w:r w:rsidRPr="006533C1">
        <w:rPr>
          <w:rFonts w:ascii="Times" w:hAnsi="Times" w:cs="Arial"/>
        </w:rPr>
        <w:t>Por lo tanto, un primer objetivo de este proyecto de ley es, seguir fomentando el patriotismo, el sentido de pertenencia y un punto de vista crítico en nuestra juventud.</w:t>
      </w:r>
    </w:p>
    <w:p w:rsidR="000D214C" w:rsidRPr="006533C1" w:rsidRDefault="000D214C" w:rsidP="000D214C">
      <w:pPr>
        <w:jc w:val="both"/>
        <w:rPr>
          <w:rFonts w:ascii="Times" w:hAnsi="Times" w:cs="Arial"/>
        </w:rPr>
      </w:pPr>
      <w:r w:rsidRPr="006533C1">
        <w:rPr>
          <w:rFonts w:ascii="Times" w:hAnsi="Times" w:cs="Arial"/>
        </w:rPr>
        <w:t>Además, la declaración y la ceremonia de entrega de la cédula de ciudadanía permite que los ciudadanos puedan acceder a la Constitución en medio físico o digital, cumpliendo con lo establecido en el artículo 41 de la Carta: “El Estado divulgará la Constitución”.</w:t>
      </w:r>
    </w:p>
    <w:p w:rsidR="000D214C" w:rsidRPr="006533C1" w:rsidRDefault="000D214C" w:rsidP="000D214C">
      <w:pPr>
        <w:jc w:val="both"/>
        <w:rPr>
          <w:rFonts w:ascii="Times" w:hAnsi="Times" w:cs="Arial"/>
        </w:rPr>
      </w:pPr>
      <w:r w:rsidRPr="006533C1">
        <w:rPr>
          <w:rFonts w:ascii="Times" w:hAnsi="Times" w:cs="Arial"/>
        </w:rPr>
        <w:t>La pretensión es incluyente: la ley dispone el acceso de personas con discapacidad al texto de la Constitución Política, en concordancia con la recién aprobada ley de capacidad jurídica</w:t>
      </w:r>
      <w:r w:rsidRPr="006533C1">
        <w:rPr>
          <w:rStyle w:val="Refdenotaalpie"/>
          <w:rFonts w:ascii="Times" w:hAnsi="Times" w:cs="Arial"/>
        </w:rPr>
        <w:footnoteReference w:id="5"/>
      </w:r>
      <w:r w:rsidRPr="006533C1">
        <w:rPr>
          <w:rFonts w:ascii="Times" w:hAnsi="Times" w:cs="Arial"/>
        </w:rPr>
        <w:t xml:space="preserve"> y con la Convención de Derechos Humanos de Personas con Discapacidad. Así mismo, impone a la Registraduría y al INCI una obligación de contar con una Constitución apta para personas con </w:t>
      </w:r>
      <w:r w:rsidRPr="006533C1">
        <w:rPr>
          <w:rFonts w:ascii="Times" w:hAnsi="Times" w:cs="Arial"/>
        </w:rPr>
        <w:lastRenderedPageBreak/>
        <w:t>discapacidad visual y a actualizarla frecuentemente, en cumplimiento del derecho a la igualdad entendida en sentido material.</w:t>
      </w:r>
    </w:p>
    <w:p w:rsidR="000D214C" w:rsidRPr="006533C1" w:rsidRDefault="000D214C" w:rsidP="000D214C">
      <w:pPr>
        <w:jc w:val="both"/>
        <w:rPr>
          <w:rFonts w:ascii="Times" w:hAnsi="Times" w:cs="Arial"/>
        </w:rPr>
      </w:pPr>
      <w:r w:rsidRPr="006533C1">
        <w:rPr>
          <w:rFonts w:ascii="Times" w:hAnsi="Times" w:cs="Arial"/>
        </w:rPr>
        <w:t>Sin embargo, este proyecto no afecta ni impone ninguna obligación a las comunidades étnicas, para que estas puedan participar en el proceso de creación legislativo y que se surta la consulta previa, conforme al derecho fundamental del que gozan esas comunidades según lo establecido en el Convenio 169 de la OIT y que ha sido desarrollado en varios fallos de la Corte Constitucional</w:t>
      </w:r>
      <w:r w:rsidRPr="006533C1">
        <w:rPr>
          <w:rStyle w:val="Refdenotaalpie"/>
          <w:rFonts w:ascii="Times" w:hAnsi="Times" w:cs="Arial"/>
        </w:rPr>
        <w:footnoteReference w:id="6"/>
      </w:r>
      <w:r w:rsidRPr="006533C1">
        <w:rPr>
          <w:rFonts w:ascii="Times" w:hAnsi="Times" w:cs="Arial"/>
        </w:rPr>
        <w:t>.</w:t>
      </w:r>
    </w:p>
    <w:p w:rsidR="000D214C" w:rsidRPr="006533C1" w:rsidRDefault="000D214C" w:rsidP="000D214C">
      <w:pPr>
        <w:jc w:val="both"/>
        <w:rPr>
          <w:rFonts w:ascii="Times" w:hAnsi="Times" w:cs="Arial"/>
        </w:rPr>
      </w:pPr>
      <w:r w:rsidRPr="006533C1">
        <w:rPr>
          <w:rFonts w:ascii="Times" w:hAnsi="Times" w:cs="Arial"/>
        </w:rPr>
        <w:t>El proyecto tiene un segundo objetivo: aumentar la legitimidad de la Constitución Política de Colombia. John Rawls ha explicado la idea del consenso constitucional, según la cual los actores políticos se ponen de acuerdo en unas reglas mínimas que todos prometen cumplir y alrededor de las cuales se fundamenta el debate político. Esas reglas permiten que las diferencias se resuelvan a través del derecho</w:t>
      </w:r>
      <w:r w:rsidRPr="006533C1">
        <w:rPr>
          <w:rStyle w:val="Refdenotaalpie"/>
          <w:rFonts w:ascii="Times" w:hAnsi="Times" w:cs="Arial"/>
        </w:rPr>
        <w:footnoteReference w:id="7"/>
      </w:r>
      <w:r w:rsidRPr="006533C1">
        <w:rPr>
          <w:rFonts w:ascii="Times" w:hAnsi="Times" w:cs="Arial"/>
        </w:rPr>
        <w:t>. No en vano los teóricos conocidos como los contractualistas (Hobbes, Locke y Rousseau) fundamentaban el respeto a la autoridad (o, en otras palabras, la legitimidad de estas) en un pacto o contrato social en el que se entregaban algunas libertades a cambio de unos bienes jurídicos</w:t>
      </w:r>
      <w:r w:rsidRPr="006533C1">
        <w:rPr>
          <w:rStyle w:val="Refdenotaalpie"/>
          <w:rFonts w:ascii="Times" w:hAnsi="Times" w:cs="Arial"/>
        </w:rPr>
        <w:footnoteReference w:id="8"/>
      </w:r>
      <w:r w:rsidRPr="006533C1">
        <w:rPr>
          <w:rFonts w:ascii="Times" w:hAnsi="Times" w:cs="Arial"/>
        </w:rPr>
        <w:t>.</w:t>
      </w:r>
    </w:p>
    <w:p w:rsidR="000D214C" w:rsidRPr="006533C1" w:rsidRDefault="000D214C" w:rsidP="000D214C">
      <w:pPr>
        <w:jc w:val="both"/>
        <w:rPr>
          <w:rFonts w:ascii="Times" w:hAnsi="Times" w:cs="Arial"/>
        </w:rPr>
      </w:pPr>
      <w:r w:rsidRPr="006533C1">
        <w:rPr>
          <w:rFonts w:ascii="Times" w:hAnsi="Times" w:cs="Arial"/>
        </w:rPr>
        <w:t>Sin embargo, en Colombia el consenso constitucional ha sido endeble, pues varios actores, como el ELN, los grupos paramilitares y anteriormente las FARC han desconocido el pacto social (la Constitución Política de Colombia)</w:t>
      </w:r>
      <w:r w:rsidRPr="006533C1">
        <w:rPr>
          <w:rStyle w:val="Refdenotaalpie"/>
          <w:rFonts w:ascii="Times" w:hAnsi="Times" w:cs="Arial"/>
        </w:rPr>
        <w:footnoteReference w:id="9"/>
      </w:r>
      <w:r w:rsidRPr="006533C1">
        <w:rPr>
          <w:rFonts w:ascii="Times" w:hAnsi="Times" w:cs="Arial"/>
        </w:rPr>
        <w:t>.</w:t>
      </w:r>
    </w:p>
    <w:p w:rsidR="000D214C" w:rsidRPr="006533C1" w:rsidRDefault="000D214C" w:rsidP="000D214C">
      <w:pPr>
        <w:jc w:val="both"/>
        <w:rPr>
          <w:rFonts w:ascii="Times" w:hAnsi="Times" w:cs="Arial"/>
        </w:rPr>
      </w:pPr>
      <w:r w:rsidRPr="006533C1">
        <w:rPr>
          <w:rFonts w:ascii="Times" w:hAnsi="Times" w:cs="Arial"/>
        </w:rPr>
        <w:t>Precisamente, el presente proyecto busca que las personas tengan conocimiento de la importancia de nuestra Carta Magna, para que al momento de ejercer sus derechos políticos sean  conscientes del funcionamiento de la democracia colombiana: (i) el respeto a los derechos fundamentales</w:t>
      </w:r>
      <w:r w:rsidRPr="006533C1">
        <w:rPr>
          <w:rStyle w:val="Refdenotaalpie"/>
          <w:rFonts w:ascii="Times" w:hAnsi="Times" w:cs="Arial"/>
        </w:rPr>
        <w:footnoteReference w:id="10"/>
      </w:r>
      <w:r w:rsidRPr="006533C1">
        <w:rPr>
          <w:rFonts w:ascii="Times" w:hAnsi="Times" w:cs="Arial"/>
        </w:rPr>
        <w:t>, (ii) pero también de los deberes establecidos en la Constitución, (iii) la aceptación de que por regla general las decisiones se toman por mayoría, como se origina de la idea clásica de democracia</w:t>
      </w:r>
      <w:r w:rsidRPr="006533C1">
        <w:rPr>
          <w:rStyle w:val="Refdenotaalpie"/>
          <w:rFonts w:ascii="Times" w:hAnsi="Times" w:cs="Arial"/>
        </w:rPr>
        <w:footnoteReference w:id="11"/>
      </w:r>
      <w:r w:rsidRPr="006533C1">
        <w:rPr>
          <w:rFonts w:ascii="Times" w:hAnsi="Times" w:cs="Arial"/>
        </w:rPr>
        <w:t xml:space="preserve"> pero que (iv) en ocasiones las mayorías deben ser limitadas para evitar que se vulneren los derechos de las minorías</w:t>
      </w:r>
      <w:r w:rsidRPr="006533C1">
        <w:rPr>
          <w:rStyle w:val="Refdenotaalpie"/>
          <w:rFonts w:ascii="Times" w:hAnsi="Times" w:cs="Arial"/>
        </w:rPr>
        <w:footnoteReference w:id="12"/>
      </w:r>
      <w:r w:rsidRPr="006533C1">
        <w:rPr>
          <w:rFonts w:ascii="Times" w:hAnsi="Times" w:cs="Arial"/>
        </w:rPr>
        <w:t xml:space="preserve"> </w:t>
      </w:r>
      <w:r w:rsidRPr="006533C1">
        <w:rPr>
          <w:rStyle w:val="Refdenotaalpie"/>
          <w:rFonts w:ascii="Times" w:hAnsi="Times" w:cs="Arial"/>
        </w:rPr>
        <w:footnoteReference w:id="13"/>
      </w:r>
      <w:r w:rsidRPr="006533C1">
        <w:rPr>
          <w:rFonts w:ascii="Times" w:hAnsi="Times" w:cs="Arial"/>
        </w:rPr>
        <w:t xml:space="preserve"> </w:t>
      </w:r>
      <w:r w:rsidRPr="006533C1">
        <w:rPr>
          <w:rStyle w:val="Refdenotaalpie"/>
          <w:rFonts w:ascii="Times" w:hAnsi="Times" w:cs="Arial"/>
        </w:rPr>
        <w:footnoteReference w:id="14"/>
      </w:r>
      <w:r w:rsidRPr="006533C1">
        <w:rPr>
          <w:rFonts w:ascii="Times" w:hAnsi="Times" w:cs="Arial"/>
        </w:rPr>
        <w:t xml:space="preserve"> </w:t>
      </w:r>
      <w:r w:rsidRPr="006533C1">
        <w:rPr>
          <w:rStyle w:val="Refdenotaalpie"/>
          <w:rFonts w:ascii="Times" w:hAnsi="Times" w:cs="Arial"/>
        </w:rPr>
        <w:footnoteReference w:id="15"/>
      </w:r>
      <w:r w:rsidRPr="006533C1">
        <w:rPr>
          <w:rFonts w:ascii="Times" w:hAnsi="Times" w:cs="Arial"/>
        </w:rPr>
        <w:t xml:space="preserve">. Estas reglas básicas deben ser aceptadas por toda persona que desee ser ciudadano colombiano, haya llegado a la mayoría de edad y tenga posibilidades reales de conocer la Constitución y dar un consentimiento libre e informado sobre su voluntad de aceptar y acogerse al pacto social contenido </w:t>
      </w:r>
      <w:r w:rsidRPr="006533C1">
        <w:rPr>
          <w:rFonts w:ascii="Times" w:hAnsi="Times" w:cs="Arial"/>
        </w:rPr>
        <w:lastRenderedPageBreak/>
        <w:t>en ella, en especial por los servidores públicos, pues sería inconcebible que las personas encargadas de velar por el cumplimiento de la Constitución Política y por la satisfacción del interés general no reconocieran la legitimidad político-jurídica de la Carta.</w:t>
      </w:r>
    </w:p>
    <w:p w:rsidR="000D214C" w:rsidRPr="006533C1" w:rsidRDefault="000D214C" w:rsidP="000D214C">
      <w:pPr>
        <w:jc w:val="both"/>
        <w:rPr>
          <w:rFonts w:ascii="Times" w:hAnsi="Times" w:cs="Arial"/>
        </w:rPr>
      </w:pPr>
      <w:r w:rsidRPr="006533C1">
        <w:rPr>
          <w:rFonts w:ascii="Times" w:hAnsi="Times" w:cs="Arial"/>
        </w:rPr>
        <w:t>Sin embargo, como explica Jorge Andrés Hernández, eso no quiere decir que todos estén de acuerdo con las reglas mínimas, por el contrario, este</w:t>
      </w:r>
    </w:p>
    <w:p w:rsidR="000D214C" w:rsidRDefault="000D214C" w:rsidP="000D214C">
      <w:pPr>
        <w:ind w:left="708"/>
        <w:jc w:val="both"/>
        <w:rPr>
          <w:rFonts w:ascii="Times" w:hAnsi="Times" w:cs="Arial"/>
        </w:rPr>
      </w:pPr>
      <w:r w:rsidRPr="006533C1">
        <w:rPr>
          <w:rFonts w:ascii="Times" w:hAnsi="Times" w:cs="Arial"/>
        </w:rPr>
        <w:t>[N]o elimina las diferencias razonables que existen entre diversos actores políticos y sociales, e incluso entre miembros de la Corte Constitucional o del poder judicial, sobre la interpretación de artículos, instituciones o valores consignados en el texto constitucional. (…) Un orden constitucional fracasa si la división social sobre la interpretación de la constitución deriva en una división sobre la autoridad de la constitución misma y de sus instituciones</w:t>
      </w:r>
      <w:r w:rsidRPr="006533C1">
        <w:rPr>
          <w:rStyle w:val="Refdenotaalpie"/>
          <w:rFonts w:ascii="Times" w:hAnsi="Times" w:cs="Arial"/>
        </w:rPr>
        <w:footnoteReference w:id="16"/>
      </w:r>
      <w:r w:rsidRPr="006533C1">
        <w:rPr>
          <w:rFonts w:ascii="Times" w:hAnsi="Times" w:cs="Arial"/>
        </w:rPr>
        <w:t>.</w:t>
      </w:r>
    </w:p>
    <w:p w:rsidR="000D214C" w:rsidRPr="006533C1" w:rsidRDefault="000D214C" w:rsidP="000D214C">
      <w:pPr>
        <w:ind w:left="708"/>
        <w:jc w:val="both"/>
        <w:rPr>
          <w:rFonts w:ascii="Times" w:hAnsi="Times" w:cs="Arial"/>
        </w:rPr>
      </w:pPr>
    </w:p>
    <w:p w:rsidR="000D214C" w:rsidRPr="006533C1" w:rsidRDefault="000D214C" w:rsidP="000D214C">
      <w:pPr>
        <w:jc w:val="both"/>
        <w:rPr>
          <w:rFonts w:ascii="Times" w:hAnsi="Times" w:cs="Arial"/>
        </w:rPr>
      </w:pPr>
      <w:r w:rsidRPr="006533C1">
        <w:rPr>
          <w:rFonts w:ascii="Times" w:hAnsi="Times" w:cs="Arial"/>
        </w:rPr>
        <w:t>El formato de solicitud individual establecido en la presente ley permite que los ciudadanos puedan expresar libremente ante la Corte Constitucional, el Congreso y la Presidencia de la República sus observaciones y reparos sobre qué aspectos de la Constitución no están de acuerdo, pero aceptando que sus controversias se dirimen conforme a las reglas establecidas en ella. Estas instituciones podrían usar esa información como insumo relevante para sus decisiones. Por supuesto, no se busca estigmatizar a nadie por sus opiniones y las identidades de los inconformes serán tratadas como datos sensibles.</w:t>
      </w:r>
    </w:p>
    <w:p w:rsidR="000D214C" w:rsidRPr="006533C1" w:rsidRDefault="000D214C" w:rsidP="000D214C">
      <w:pPr>
        <w:jc w:val="both"/>
        <w:rPr>
          <w:rFonts w:ascii="Times" w:hAnsi="Times" w:cs="Arial"/>
        </w:rPr>
      </w:pPr>
    </w:p>
    <w:p w:rsidR="000D214C" w:rsidRPr="006533C1" w:rsidRDefault="000D214C" w:rsidP="000D214C">
      <w:pPr>
        <w:jc w:val="both"/>
        <w:rPr>
          <w:rFonts w:ascii="Times" w:hAnsi="Times" w:cs="Arial"/>
        </w:rPr>
      </w:pPr>
      <w:r w:rsidRPr="006533C1">
        <w:rPr>
          <w:rFonts w:ascii="Times" w:hAnsi="Times" w:cs="Arial"/>
        </w:rPr>
        <w:t>Con todo, la ley soluciona dos problemas de vigencia. En primer lugar, el de la retrospectividad: pues permite que los ciudadanos que no tuvieron oportunidad de hacer la Declaración, pero que ya obtuvieron su cédula, la hagan si así lo desean. Por último, establece un plazo de 6 meses para que empiece a regir, permitiendo que las instituciones, en especial la Registraduría, se preparen para el idóneo funcionamiento del trámite y de la Declaración.</w:t>
      </w:r>
    </w:p>
    <w:p w:rsidR="006D7ECC" w:rsidRDefault="006D7ECC" w:rsidP="006D7ECC">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6D7ECC" w:rsidRDefault="006D7ECC" w:rsidP="006D7ECC">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6D7ECC" w:rsidRDefault="006D7ECC" w:rsidP="006D7ECC">
      <w:pPr>
        <w:shd w:val="clear" w:color="auto" w:fill="FFFFFF"/>
        <w:spacing w:after="0" w:line="240" w:lineRule="auto"/>
        <w:ind w:right="-91"/>
        <w:jc w:val="both"/>
        <w:textAlignment w:val="baseline"/>
        <w:rPr>
          <w:rFonts w:ascii="Times New Roman" w:hAnsi="Times New Roman" w:cs="Times New Roman"/>
          <w:b/>
          <w:sz w:val="24"/>
          <w:szCs w:val="24"/>
          <w:u w:val="single"/>
          <w:shd w:val="clear" w:color="auto" w:fill="FFFFFF"/>
        </w:rPr>
      </w:pPr>
      <w:r w:rsidRPr="00257544">
        <w:rPr>
          <w:rFonts w:ascii="Times New Roman" w:hAnsi="Times New Roman" w:cs="Times New Roman"/>
          <w:b/>
          <w:sz w:val="24"/>
          <w:szCs w:val="24"/>
          <w:shd w:val="clear" w:color="auto" w:fill="FFFFFF"/>
        </w:rPr>
        <w:t xml:space="preserve">V.I. </w:t>
      </w: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u w:val="single"/>
          <w:shd w:val="clear" w:color="auto" w:fill="FFFFFF"/>
        </w:rPr>
        <w:t>CONVENIENCIA</w:t>
      </w:r>
    </w:p>
    <w:p w:rsidR="006D7ECC" w:rsidRPr="00257544" w:rsidRDefault="006D7ECC" w:rsidP="006D7ECC">
      <w:pPr>
        <w:shd w:val="clear" w:color="auto" w:fill="FFFFFF"/>
        <w:spacing w:after="0" w:line="240" w:lineRule="auto"/>
        <w:ind w:right="-91"/>
        <w:jc w:val="both"/>
        <w:textAlignment w:val="baseline"/>
        <w:rPr>
          <w:rFonts w:ascii="Times New Roman" w:hAnsi="Times New Roman" w:cs="Times New Roman"/>
          <w:b/>
          <w:sz w:val="24"/>
          <w:szCs w:val="24"/>
          <w:shd w:val="clear" w:color="auto" w:fill="FFFFFF"/>
        </w:rPr>
      </w:pPr>
    </w:p>
    <w:p w:rsidR="006D7ECC" w:rsidRDefault="006D7ECC" w:rsidP="006D7ECC">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Según los primeros constitucionalistas, los llamados contractualistas, la Constitución Política es el pacto de una sociedad</w:t>
      </w:r>
      <w:r w:rsidRPr="00141557">
        <w:rPr>
          <w:rFonts w:ascii="Times New Roman" w:eastAsia="Calibri" w:hAnsi="Times New Roman" w:cs="Times New Roman"/>
          <w:sz w:val="24"/>
          <w:szCs w:val="24"/>
          <w:vertAlign w:val="superscript"/>
          <w:lang w:eastAsia="es-ES"/>
        </w:rPr>
        <w:footnoteReference w:id="17"/>
      </w:r>
      <w:r w:rsidRPr="00141557">
        <w:rPr>
          <w:rFonts w:ascii="Times New Roman" w:eastAsia="Calibri" w:hAnsi="Times New Roman" w:cs="Times New Roman"/>
          <w:sz w:val="24"/>
          <w:szCs w:val="24"/>
          <w:lang w:eastAsia="es-ES"/>
        </w:rPr>
        <w:t>. Nuestra Constitución es nuestro pacto como sociedad. En el texto constitucional se condensa nuestro acuerdo básico, el consenso constitucional</w:t>
      </w:r>
      <w:r w:rsidRPr="00141557">
        <w:rPr>
          <w:rFonts w:ascii="Times New Roman" w:eastAsia="Calibri" w:hAnsi="Times New Roman" w:cs="Times New Roman"/>
          <w:sz w:val="24"/>
          <w:szCs w:val="24"/>
          <w:vertAlign w:val="superscript"/>
          <w:lang w:eastAsia="es-ES"/>
        </w:rPr>
        <w:footnoteReference w:id="18"/>
      </w:r>
      <w:r w:rsidRPr="00141557">
        <w:rPr>
          <w:rFonts w:ascii="Times New Roman" w:eastAsia="Calibri" w:hAnsi="Times New Roman" w:cs="Times New Roman"/>
          <w:sz w:val="24"/>
          <w:szCs w:val="24"/>
          <w:lang w:eastAsia="es-ES"/>
        </w:rPr>
        <w:t>, lo que queremos como grupo social, nuestros principios y valores</w:t>
      </w:r>
      <w:r w:rsidRPr="00141557">
        <w:rPr>
          <w:rFonts w:ascii="Times New Roman" w:eastAsia="Calibri" w:hAnsi="Times New Roman" w:cs="Times New Roman"/>
          <w:sz w:val="24"/>
          <w:szCs w:val="24"/>
          <w:vertAlign w:val="superscript"/>
          <w:lang w:eastAsia="es-ES"/>
        </w:rPr>
        <w:footnoteReference w:id="19"/>
      </w:r>
      <w:r w:rsidRPr="00141557">
        <w:rPr>
          <w:rFonts w:ascii="Times New Roman" w:eastAsia="Calibri" w:hAnsi="Times New Roman" w:cs="Times New Roman"/>
          <w:sz w:val="24"/>
          <w:szCs w:val="24"/>
          <w:lang w:eastAsia="es-ES"/>
        </w:rPr>
        <w:t>, nuestros derechos</w:t>
      </w:r>
      <w:r w:rsidRPr="00141557">
        <w:rPr>
          <w:rFonts w:ascii="Times New Roman" w:eastAsia="Calibri" w:hAnsi="Times New Roman" w:cs="Times New Roman"/>
          <w:sz w:val="24"/>
          <w:szCs w:val="24"/>
          <w:vertAlign w:val="superscript"/>
          <w:lang w:eastAsia="es-ES"/>
        </w:rPr>
        <w:footnoteReference w:id="20"/>
      </w:r>
      <w:r w:rsidRPr="00141557">
        <w:rPr>
          <w:rFonts w:ascii="Times New Roman" w:eastAsia="Calibri" w:hAnsi="Times New Roman" w:cs="Times New Roman"/>
          <w:sz w:val="24"/>
          <w:szCs w:val="24"/>
          <w:lang w:eastAsia="es-ES"/>
        </w:rPr>
        <w:t xml:space="preserve"> </w:t>
      </w:r>
      <w:r w:rsidRPr="00141557">
        <w:rPr>
          <w:rFonts w:ascii="Times New Roman" w:eastAsia="Calibri" w:hAnsi="Times New Roman" w:cs="Times New Roman"/>
          <w:sz w:val="24"/>
          <w:szCs w:val="24"/>
          <w:vertAlign w:val="superscript"/>
          <w:lang w:eastAsia="es-ES"/>
        </w:rPr>
        <w:footnoteReference w:id="21"/>
      </w:r>
      <w:r w:rsidRPr="00141557">
        <w:rPr>
          <w:rFonts w:ascii="Times New Roman" w:eastAsia="Calibri" w:hAnsi="Times New Roman" w:cs="Times New Roman"/>
          <w:sz w:val="24"/>
          <w:szCs w:val="24"/>
          <w:lang w:eastAsia="es-ES"/>
        </w:rPr>
        <w:t xml:space="preserve"> y </w:t>
      </w:r>
      <w:r w:rsidRPr="00141557">
        <w:rPr>
          <w:rFonts w:ascii="Times New Roman" w:eastAsia="Calibri" w:hAnsi="Times New Roman" w:cs="Times New Roman"/>
          <w:sz w:val="24"/>
          <w:szCs w:val="24"/>
          <w:lang w:eastAsia="es-ES"/>
        </w:rPr>
        <w:lastRenderedPageBreak/>
        <w:t>deberes, y nuestro Estado como el instrumento de la sociedad para la realización de nuestros propósitos comunes</w:t>
      </w:r>
      <w:r w:rsidRPr="00141557">
        <w:rPr>
          <w:rFonts w:ascii="Times New Roman" w:eastAsia="Calibri" w:hAnsi="Times New Roman" w:cs="Times New Roman"/>
          <w:sz w:val="24"/>
          <w:szCs w:val="24"/>
          <w:vertAlign w:val="superscript"/>
          <w:lang w:eastAsia="es-ES"/>
        </w:rPr>
        <w:footnoteReference w:id="22"/>
      </w:r>
      <w:r w:rsidRPr="00141557">
        <w:rPr>
          <w:rFonts w:ascii="Times New Roman" w:eastAsia="Calibri" w:hAnsi="Times New Roman" w:cs="Times New Roman"/>
          <w:sz w:val="24"/>
          <w:szCs w:val="24"/>
          <w:lang w:eastAsia="es-ES"/>
        </w:rPr>
        <w:t>.</w:t>
      </w: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No es posible elevar nuestra conciencia colectiva</w:t>
      </w:r>
      <w:r w:rsidRPr="00141557">
        <w:rPr>
          <w:rFonts w:ascii="Times New Roman" w:eastAsia="Calibri" w:hAnsi="Times New Roman" w:cs="Times New Roman"/>
          <w:sz w:val="24"/>
          <w:szCs w:val="24"/>
          <w:vertAlign w:val="superscript"/>
          <w:lang w:eastAsia="es-ES"/>
        </w:rPr>
        <w:footnoteReference w:id="23"/>
      </w:r>
      <w:r w:rsidRPr="00141557">
        <w:rPr>
          <w:rFonts w:ascii="Times New Roman" w:eastAsia="Calibri" w:hAnsi="Times New Roman" w:cs="Times New Roman"/>
          <w:sz w:val="24"/>
          <w:szCs w:val="24"/>
          <w:lang w:eastAsia="es-ES"/>
        </w:rPr>
        <w:t>, no es posible reconocer y valorar y aprender a respetar nuestros bienes públicos si no conocemos el contenido de ese acuerdo básico, si no conocemos nuestra Constitución, si no nos apropiamos individual y colectivamente de nuestros derechos y deberes, si no conocemos las herramientas para obligar al Estado a cumplir los fines que como sociedad</w:t>
      </w:r>
      <w:r w:rsidRPr="00141557">
        <w:rPr>
          <w:rFonts w:ascii="Times New Roman" w:eastAsia="Calibri" w:hAnsi="Times New Roman" w:cs="Times New Roman"/>
          <w:sz w:val="24"/>
          <w:szCs w:val="24"/>
          <w:vertAlign w:val="superscript"/>
          <w:lang w:eastAsia="es-ES"/>
        </w:rPr>
        <w:footnoteReference w:id="24"/>
      </w:r>
      <w:r w:rsidRPr="00141557">
        <w:rPr>
          <w:rFonts w:ascii="Times New Roman" w:eastAsia="Calibri" w:hAnsi="Times New Roman" w:cs="Times New Roman"/>
          <w:sz w:val="24"/>
          <w:szCs w:val="24"/>
          <w:lang w:eastAsia="es-ES"/>
        </w:rPr>
        <w:t xml:space="preserve"> y para beneficio común le hemos asignado, si no aprendemos a respetar ese pacto como el fundamento de nuestro propósito esencial de convivir armónicamente y de generar un escenario idóneo de desarrollo individual para todos que, a su vez, sea la base fundamental de nuestro desarrollo social y económico, si no comprendemos que estos propósitos comunes sólo se pueden obtener en forma progresiva y con la participación activa de todos.</w:t>
      </w: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En otras palabras, el proyecto busca desarrollar un tipo de ciudadanía específica que se inspira en el modelo construido por Jurgen Habermas, que propone una ciudadanía moderna, postnacional, compatible con los estados plurinacionales y pluriétnicos actuales. En otras palabras:</w:t>
      </w: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p>
    <w:p w:rsidR="006D7ECC" w:rsidRPr="00141557" w:rsidRDefault="006D7ECC" w:rsidP="006D7ECC">
      <w:pPr>
        <w:spacing w:after="0" w:line="240" w:lineRule="auto"/>
        <w:ind w:left="720"/>
        <w:jc w:val="both"/>
        <w:rPr>
          <w:rFonts w:ascii="Times New Roman" w:eastAsia="Calibri" w:hAnsi="Times New Roman" w:cs="Times New Roman"/>
          <w:i/>
          <w:sz w:val="24"/>
          <w:szCs w:val="24"/>
          <w:lang w:eastAsia="es-ES"/>
        </w:rPr>
      </w:pPr>
      <w:r w:rsidRPr="00141557">
        <w:rPr>
          <w:rFonts w:ascii="Times New Roman" w:eastAsia="Calibri" w:hAnsi="Times New Roman" w:cs="Times New Roman"/>
          <w:i/>
          <w:sz w:val="24"/>
          <w:szCs w:val="24"/>
          <w:lang w:eastAsia="es-ES"/>
        </w:rPr>
        <w:t>La clave de este modelo la juega el llamado “patriotismo constitucional”, pues sólo desde la Constitución, y no desde supuestas esencias nacionales, se puede conseguir una plena integración común de las diferencias existentes en la sociedad. Ella es la que establece y define las maneras por las cuales se consolidará el pluralismo, permitiendo así que nazca un nuevo tipo de ciudadanía, la postnacional</w:t>
      </w:r>
      <w:r w:rsidRPr="00141557">
        <w:rPr>
          <w:rFonts w:ascii="Times New Roman" w:eastAsia="Calibri" w:hAnsi="Times New Roman" w:cs="Times New Roman"/>
          <w:i/>
          <w:sz w:val="24"/>
          <w:szCs w:val="24"/>
          <w:vertAlign w:val="superscript"/>
          <w:lang w:eastAsia="es-ES"/>
        </w:rPr>
        <w:footnoteReference w:id="25"/>
      </w:r>
      <w:r w:rsidRPr="00141557">
        <w:rPr>
          <w:rFonts w:ascii="Times New Roman" w:eastAsia="Calibri" w:hAnsi="Times New Roman" w:cs="Times New Roman"/>
          <w:i/>
          <w:sz w:val="24"/>
          <w:szCs w:val="24"/>
          <w:lang w:eastAsia="es-ES"/>
        </w:rPr>
        <w:t>.</w:t>
      </w: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p>
    <w:p w:rsidR="006D7ECC" w:rsidRPr="00141557" w:rsidRDefault="006D7ECC" w:rsidP="006D7ECC">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Esta ciudadanía activa, es el presupuesto indispensable para una democracia deliberativa en la que todos los ciudadanos hacen parte de los procesos para formar la voluntad colectiva. Una sociedad civil fuerte permite un debate público, enriqueciendo la forma en la que se toman las decisiones</w:t>
      </w:r>
      <w:r w:rsidRPr="00141557">
        <w:rPr>
          <w:rFonts w:ascii="Times New Roman" w:eastAsia="Calibri" w:hAnsi="Times New Roman" w:cs="Times New Roman"/>
          <w:sz w:val="24"/>
          <w:szCs w:val="24"/>
          <w:vertAlign w:val="superscript"/>
          <w:lang w:eastAsia="es-ES"/>
        </w:rPr>
        <w:footnoteReference w:id="26"/>
      </w:r>
      <w:r w:rsidRPr="00141557">
        <w:rPr>
          <w:rFonts w:ascii="Times New Roman" w:eastAsia="Calibri" w:hAnsi="Times New Roman" w:cs="Times New Roman"/>
          <w:sz w:val="24"/>
          <w:szCs w:val="24"/>
          <w:lang w:eastAsia="es-ES"/>
        </w:rPr>
        <w:t>.</w:t>
      </w:r>
    </w:p>
    <w:p w:rsidR="006D7ECC" w:rsidRDefault="006D7ECC" w:rsidP="006D7ECC">
      <w:pPr>
        <w:pStyle w:val="Default"/>
        <w:rPr>
          <w:rFonts w:ascii="Times New Roman" w:hAnsi="Times New Roman" w:cs="Times New Roman"/>
          <w:color w:val="auto"/>
          <w:shd w:val="clear" w:color="auto" w:fill="FFFFFF"/>
        </w:rPr>
      </w:pPr>
    </w:p>
    <w:p w:rsidR="006D7ECC" w:rsidRDefault="006D7ECC" w:rsidP="006D7ECC">
      <w:pPr>
        <w:pStyle w:val="Default"/>
        <w:rPr>
          <w:rFonts w:ascii="Times New Roman" w:hAnsi="Times New Roman" w:cs="Times New Roman"/>
          <w:color w:val="auto"/>
          <w:shd w:val="clear" w:color="auto" w:fill="FFFFFF"/>
        </w:rPr>
      </w:pPr>
    </w:p>
    <w:p w:rsidR="006D7ECC" w:rsidRDefault="006D7ECC" w:rsidP="006D7ECC">
      <w:pPr>
        <w:pStyle w:val="Default"/>
        <w:rPr>
          <w:rFonts w:ascii="Times New Roman" w:hAnsi="Times New Roman" w:cs="Times New Roman"/>
          <w:color w:val="auto"/>
          <w:shd w:val="clear" w:color="auto" w:fill="FFFFFF"/>
        </w:rPr>
      </w:pPr>
    </w:p>
    <w:p w:rsidR="006D7ECC" w:rsidRPr="000D66D3" w:rsidRDefault="006D7ECC" w:rsidP="006D7ECC">
      <w:pPr>
        <w:pStyle w:val="Default"/>
        <w:numPr>
          <w:ilvl w:val="0"/>
          <w:numId w:val="1"/>
        </w:numPr>
        <w:rPr>
          <w:rFonts w:ascii="Times New Roman" w:hAnsi="Times New Roman" w:cs="Times New Roman"/>
          <w:color w:val="auto"/>
          <w:shd w:val="clear" w:color="auto" w:fill="FFFFFF"/>
        </w:rPr>
      </w:pPr>
      <w:r w:rsidRPr="000D66D3">
        <w:rPr>
          <w:rFonts w:ascii="Times New Roman" w:hAnsi="Times New Roman" w:cs="Times New Roman"/>
          <w:b/>
          <w:bCs/>
          <w:szCs w:val="23"/>
        </w:rPr>
        <w:t xml:space="preserve">FUNDAMENTOS JURÍDICOS DE LA COMPETENCIA DEL CONGRESO PARA REGULAR LA MATERIA. </w:t>
      </w:r>
    </w:p>
    <w:p w:rsidR="006D7ECC" w:rsidRPr="00AE3761" w:rsidRDefault="006D7ECC" w:rsidP="006D7ECC">
      <w:pPr>
        <w:pStyle w:val="Default"/>
        <w:ind w:left="720"/>
        <w:rPr>
          <w:rFonts w:ascii="Times New Roman" w:hAnsi="Times New Roman" w:cs="Times New Roman"/>
          <w:szCs w:val="23"/>
        </w:rPr>
      </w:pPr>
    </w:p>
    <w:p w:rsidR="006D7ECC" w:rsidRDefault="006D7ECC" w:rsidP="006D7ECC">
      <w:pPr>
        <w:pStyle w:val="Default"/>
        <w:rPr>
          <w:sz w:val="23"/>
          <w:szCs w:val="23"/>
        </w:rPr>
      </w:pPr>
    </w:p>
    <w:p w:rsidR="006D7ECC" w:rsidRPr="00AE3761" w:rsidRDefault="006D7ECC" w:rsidP="006D7ECC">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lastRenderedPageBreak/>
        <w:t xml:space="preserve">Legal: </w:t>
      </w:r>
    </w:p>
    <w:p w:rsidR="006D7ECC" w:rsidRPr="00AE3761" w:rsidRDefault="006D7ECC" w:rsidP="006D7ECC">
      <w:pPr>
        <w:pStyle w:val="Default"/>
        <w:ind w:left="720"/>
        <w:rPr>
          <w:rFonts w:ascii="Times New Roman" w:hAnsi="Times New Roman" w:cs="Times New Roman"/>
          <w:szCs w:val="23"/>
        </w:rPr>
      </w:pPr>
    </w:p>
    <w:p w:rsidR="006D7ECC" w:rsidRPr="00AE3761" w:rsidRDefault="006D7ECC" w:rsidP="006D7ECC">
      <w:pPr>
        <w:pStyle w:val="Default"/>
        <w:ind w:left="720"/>
        <w:rPr>
          <w:rFonts w:ascii="Times New Roman" w:hAnsi="Times New Roman" w:cs="Times New Roman"/>
          <w:szCs w:val="23"/>
        </w:rPr>
      </w:pPr>
    </w:p>
    <w:p w:rsidR="006D7ECC" w:rsidRDefault="006D7ECC" w:rsidP="006D7ECC">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rsidR="006D7ECC" w:rsidRPr="00AE3761" w:rsidRDefault="006D7ECC" w:rsidP="006D7ECC">
      <w:pPr>
        <w:pStyle w:val="Default"/>
        <w:rPr>
          <w:rFonts w:ascii="Times New Roman" w:hAnsi="Times New Roman" w:cs="Times New Roman"/>
          <w:szCs w:val="23"/>
        </w:rPr>
      </w:pPr>
    </w:p>
    <w:p w:rsidR="006D7ECC" w:rsidRDefault="006D7ECC" w:rsidP="006D7ECC">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6D7ECC" w:rsidRDefault="006D7ECC" w:rsidP="006D7ECC">
      <w:pPr>
        <w:pStyle w:val="Default"/>
        <w:ind w:left="360"/>
        <w:rPr>
          <w:rFonts w:ascii="Times New Roman" w:hAnsi="Times New Roman" w:cs="Times New Roman"/>
          <w:i/>
          <w:iCs/>
          <w:szCs w:val="23"/>
        </w:rPr>
      </w:pPr>
    </w:p>
    <w:p w:rsidR="006D7ECC" w:rsidRDefault="006D7ECC" w:rsidP="006D7ECC">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6D7ECC" w:rsidRDefault="006D7ECC" w:rsidP="006D7ECC">
      <w:pPr>
        <w:pStyle w:val="Default"/>
        <w:ind w:left="360"/>
        <w:rPr>
          <w:rFonts w:ascii="Times New Roman" w:hAnsi="Times New Roman" w:cs="Times New Roman"/>
          <w:i/>
          <w:iCs/>
          <w:szCs w:val="23"/>
        </w:rPr>
      </w:pPr>
    </w:p>
    <w:p w:rsidR="006D7ECC" w:rsidRDefault="006D7ECC" w:rsidP="006D7ECC">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rsidR="006D7ECC" w:rsidRDefault="006D7ECC" w:rsidP="006D7ECC">
      <w:pPr>
        <w:pStyle w:val="Default"/>
        <w:ind w:left="360"/>
        <w:rPr>
          <w:rFonts w:ascii="Times New Roman" w:hAnsi="Times New Roman" w:cs="Times New Roman"/>
          <w:i/>
          <w:iCs/>
          <w:szCs w:val="23"/>
        </w:rPr>
      </w:pPr>
    </w:p>
    <w:p w:rsidR="006D7ECC" w:rsidRDefault="006D7ECC" w:rsidP="006D7ECC">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6D7ECC" w:rsidRDefault="006D7ECC" w:rsidP="006D7ECC">
      <w:pPr>
        <w:pStyle w:val="Default"/>
        <w:rPr>
          <w:rFonts w:ascii="Times New Roman" w:hAnsi="Times New Roman" w:cs="Times New Roman"/>
          <w:i/>
          <w:iCs/>
          <w:szCs w:val="23"/>
        </w:rPr>
      </w:pPr>
    </w:p>
    <w:p w:rsidR="006D7ECC" w:rsidRPr="00AE3761" w:rsidRDefault="006D7ECC" w:rsidP="006D7ECC">
      <w:pPr>
        <w:pStyle w:val="Default"/>
        <w:rPr>
          <w:rFonts w:ascii="Times New Roman" w:hAnsi="Times New Roman" w:cs="Times New Roman"/>
          <w:i/>
          <w:iCs/>
          <w:szCs w:val="23"/>
        </w:rPr>
      </w:pPr>
    </w:p>
    <w:p w:rsidR="006D7ECC" w:rsidRDefault="006D7ECC" w:rsidP="006D7ECC">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rsidR="006D7ECC" w:rsidRDefault="006D7ECC" w:rsidP="006D7ECC">
      <w:pPr>
        <w:pStyle w:val="Sinespaciado"/>
        <w:ind w:left="567"/>
        <w:jc w:val="both"/>
        <w:rPr>
          <w:rFonts w:ascii="Times New Roman" w:hAnsi="Times New Roman" w:cs="Times New Roman"/>
          <w:b/>
          <w:sz w:val="24"/>
          <w:szCs w:val="24"/>
          <w:u w:val="single"/>
          <w:lang w:val="es-ES_tradnl"/>
        </w:rPr>
      </w:pPr>
    </w:p>
    <w:p w:rsidR="006D7ECC" w:rsidRDefault="006D7ECC" w:rsidP="006D7ECC">
      <w:pPr>
        <w:pStyle w:val="Sinespaciado"/>
        <w:ind w:left="567"/>
        <w:jc w:val="both"/>
        <w:rPr>
          <w:rFonts w:ascii="Times New Roman" w:hAnsi="Times New Roman" w:cs="Times New Roman"/>
          <w:b/>
          <w:sz w:val="24"/>
          <w:szCs w:val="24"/>
          <w:u w:val="single"/>
          <w:lang w:val="es-ES_tradnl"/>
        </w:rPr>
      </w:pPr>
    </w:p>
    <w:p w:rsidR="006D7ECC" w:rsidRPr="00AE3761" w:rsidRDefault="006D7ECC" w:rsidP="006D7ECC">
      <w:pPr>
        <w:pStyle w:val="Sinespaciado"/>
        <w:jc w:val="both"/>
        <w:rPr>
          <w:rFonts w:ascii="Times New Roman" w:hAnsi="Times New Roman" w:cs="Times New Roman"/>
          <w:b/>
          <w:sz w:val="24"/>
          <w:szCs w:val="24"/>
          <w:lang w:val="es-ES_tradnl"/>
        </w:rPr>
      </w:pPr>
    </w:p>
    <w:p w:rsidR="006D7ECC" w:rsidRDefault="006D7ECC" w:rsidP="006D7ECC">
      <w:pPr>
        <w:pStyle w:val="Sinespaciado"/>
        <w:ind w:left="567"/>
        <w:jc w:val="both"/>
        <w:rPr>
          <w:rFonts w:ascii="Times New Roman" w:hAnsi="Times New Roman" w:cs="Times New Roman"/>
          <w:i/>
          <w:sz w:val="24"/>
          <w:szCs w:val="24"/>
          <w:lang w:val="es-ES_tradnl"/>
        </w:rPr>
      </w:pPr>
      <w:r>
        <w:rPr>
          <w:rFonts w:ascii="Times New Roman" w:hAnsi="Times New Roman" w:cs="Times New Roman"/>
          <w:sz w:val="24"/>
          <w:szCs w:val="24"/>
        </w:rPr>
        <w:t>Considerando los argumentos expuestos, este despacho se sirve presentar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sidR="000D214C">
        <w:rPr>
          <w:rFonts w:ascii="Times New Roman" w:hAnsi="Times New Roman" w:cs="Times New Roman"/>
          <w:b/>
          <w:bCs/>
          <w:sz w:val="24"/>
          <w:szCs w:val="24"/>
        </w:rPr>
        <w:t>282</w:t>
      </w:r>
      <w:r>
        <w:rPr>
          <w:rFonts w:ascii="Times New Roman" w:hAnsi="Times New Roman" w:cs="Times New Roman"/>
          <w:b/>
          <w:bCs/>
          <w:sz w:val="24"/>
          <w:szCs w:val="24"/>
        </w:rPr>
        <w:t xml:space="preserve"> de 20</w:t>
      </w:r>
      <w:r w:rsidR="000D214C">
        <w:rPr>
          <w:rFonts w:ascii="Times New Roman" w:hAnsi="Times New Roman" w:cs="Times New Roman"/>
          <w:b/>
          <w:bCs/>
          <w:sz w:val="24"/>
          <w:szCs w:val="24"/>
        </w:rPr>
        <w:t>20</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Pr="00EE1359">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r>
        <w:rPr>
          <w:rFonts w:ascii="Times New Roman" w:hAnsi="Times New Roman" w:cs="Times New Roman"/>
          <w:i/>
          <w:sz w:val="24"/>
          <w:szCs w:val="24"/>
          <w:lang w:val="es-ES_tradnl"/>
        </w:rPr>
        <w:t>.</w:t>
      </w:r>
    </w:p>
    <w:p w:rsidR="006D7ECC" w:rsidRDefault="006D7ECC" w:rsidP="006D7ECC">
      <w:pPr>
        <w:pStyle w:val="Sinespaciado"/>
        <w:ind w:left="567"/>
        <w:jc w:val="both"/>
        <w:rPr>
          <w:rFonts w:ascii="Times New Roman" w:hAnsi="Times New Roman" w:cs="Times New Roman"/>
          <w:i/>
          <w:sz w:val="24"/>
          <w:szCs w:val="24"/>
          <w:lang w:val="es-ES_tradnl"/>
        </w:rPr>
      </w:pPr>
    </w:p>
    <w:p w:rsidR="006D7ECC" w:rsidRPr="00AE3761" w:rsidRDefault="006D7ECC" w:rsidP="006D7ECC">
      <w:pPr>
        <w:pStyle w:val="Sinespaciado"/>
        <w:ind w:left="567"/>
        <w:jc w:val="both"/>
        <w:rPr>
          <w:rFonts w:ascii="Times New Roman" w:hAnsi="Times New Roman" w:cs="Times New Roman"/>
          <w:i/>
          <w:sz w:val="24"/>
          <w:szCs w:val="24"/>
          <w:lang w:val="es-ES_tradnl"/>
        </w:rPr>
      </w:pPr>
    </w:p>
    <w:p w:rsidR="006D7ECC" w:rsidRDefault="006D7ECC" w:rsidP="006D7ECC">
      <w:pPr>
        <w:pStyle w:val="Sinespaciado"/>
        <w:jc w:val="both"/>
        <w:rPr>
          <w:rFonts w:ascii="Times New Roman" w:hAnsi="Times New Roman" w:cs="Times New Roman"/>
          <w:b/>
          <w:sz w:val="24"/>
          <w:szCs w:val="24"/>
          <w:lang w:val="es-ES_tradnl"/>
        </w:rPr>
      </w:pPr>
    </w:p>
    <w:p w:rsidR="006D7ECC" w:rsidRPr="00AE3761" w:rsidRDefault="006D7ECC" w:rsidP="006D7ECC">
      <w:pPr>
        <w:pStyle w:val="Sinespaciado"/>
        <w:jc w:val="both"/>
        <w:rPr>
          <w:rFonts w:ascii="Times New Roman" w:hAnsi="Times New Roman" w:cs="Times New Roman"/>
          <w:b/>
          <w:sz w:val="24"/>
          <w:szCs w:val="24"/>
          <w:lang w:val="es-ES_tradnl"/>
        </w:rPr>
      </w:pPr>
    </w:p>
    <w:p w:rsidR="006D7ECC" w:rsidRDefault="006D7ECC" w:rsidP="006D7ECC">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rsidR="006D7ECC" w:rsidRDefault="006D7ECC" w:rsidP="006D7ECC">
      <w:pPr>
        <w:pStyle w:val="Sinespaciado"/>
        <w:jc w:val="both"/>
        <w:rPr>
          <w:rFonts w:ascii="Times New Roman" w:hAnsi="Times New Roman" w:cs="Times New Roman"/>
          <w:b/>
          <w:sz w:val="24"/>
          <w:szCs w:val="24"/>
          <w:u w:val="single"/>
          <w:lang w:val="es-ES_tradnl"/>
        </w:rPr>
      </w:pPr>
    </w:p>
    <w:p w:rsidR="006D7ECC" w:rsidRDefault="006D7ECC" w:rsidP="006D7ECC">
      <w:pPr>
        <w:pStyle w:val="Sinespaciado"/>
        <w:jc w:val="both"/>
        <w:rPr>
          <w:rFonts w:ascii="Times New Roman" w:hAnsi="Times New Roman" w:cs="Times New Roman"/>
          <w:b/>
          <w:sz w:val="24"/>
          <w:szCs w:val="24"/>
          <w:u w:val="single"/>
          <w:lang w:val="es-ES_tradnl"/>
        </w:rPr>
      </w:pPr>
    </w:p>
    <w:p w:rsidR="006D7ECC" w:rsidRPr="00AE3761" w:rsidRDefault="006D7ECC" w:rsidP="006D7ECC">
      <w:pPr>
        <w:pStyle w:val="Sinespaciado"/>
        <w:jc w:val="both"/>
        <w:rPr>
          <w:rFonts w:ascii="Times New Roman" w:hAnsi="Times New Roman" w:cs="Times New Roman"/>
          <w:b/>
          <w:sz w:val="24"/>
          <w:szCs w:val="24"/>
          <w:lang w:val="es-ES_tradnl"/>
        </w:rPr>
      </w:pPr>
    </w:p>
    <w:p w:rsidR="006D7ECC" w:rsidRPr="00AE3761" w:rsidRDefault="006D7ECC" w:rsidP="006D7ECC">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 la Honorable Representante</w:t>
      </w:r>
      <w:r w:rsidRPr="00AE3761">
        <w:rPr>
          <w:rFonts w:ascii="Times New Roman" w:hAnsi="Times New Roman" w:cs="Times New Roman"/>
          <w:sz w:val="24"/>
          <w:szCs w:val="24"/>
          <w:lang w:val="es-ES_tradnl"/>
        </w:rPr>
        <w:t>,</w:t>
      </w:r>
    </w:p>
    <w:p w:rsidR="006D7ECC" w:rsidRPr="00AE3761" w:rsidRDefault="006D7ECC" w:rsidP="006D7ECC">
      <w:pPr>
        <w:pStyle w:val="Sinespaciado"/>
        <w:ind w:left="567"/>
        <w:jc w:val="both"/>
        <w:rPr>
          <w:rFonts w:ascii="Times New Roman" w:hAnsi="Times New Roman" w:cs="Times New Roman"/>
          <w:sz w:val="24"/>
          <w:szCs w:val="24"/>
          <w:lang w:val="es-ES_tradnl"/>
        </w:rPr>
      </w:pPr>
    </w:p>
    <w:p w:rsidR="006D7ECC" w:rsidRDefault="006D7ECC" w:rsidP="006D7ECC">
      <w:pPr>
        <w:pStyle w:val="Sinespaciado"/>
        <w:ind w:left="567"/>
        <w:jc w:val="both"/>
        <w:rPr>
          <w:rFonts w:ascii="Times New Roman" w:hAnsi="Times New Roman" w:cs="Times New Roman"/>
          <w:sz w:val="24"/>
          <w:szCs w:val="24"/>
          <w:lang w:val="es-ES_tradnl"/>
        </w:rPr>
      </w:pPr>
    </w:p>
    <w:p w:rsidR="006D7ECC" w:rsidRPr="00AE3761" w:rsidRDefault="006D7ECC" w:rsidP="006D7ECC">
      <w:pPr>
        <w:pStyle w:val="Sinespaciado"/>
        <w:jc w:val="both"/>
        <w:rPr>
          <w:rFonts w:ascii="Times New Roman" w:hAnsi="Times New Roman" w:cs="Times New Roman"/>
          <w:b/>
          <w:sz w:val="24"/>
          <w:szCs w:val="24"/>
          <w:lang w:val="es-ES_tradnl"/>
        </w:rPr>
      </w:pPr>
    </w:p>
    <w:p w:rsidR="006D7ECC" w:rsidRDefault="006D7ECC" w:rsidP="006D7ECC">
      <w:pPr>
        <w:pStyle w:val="Sinespaciado"/>
        <w:ind w:left="567"/>
        <w:jc w:val="both"/>
        <w:rPr>
          <w:rFonts w:ascii="Times New Roman" w:hAnsi="Times New Roman" w:cs="Times New Roman"/>
          <w:b/>
          <w:sz w:val="24"/>
          <w:szCs w:val="24"/>
          <w:lang w:val="es-ES_tradnl"/>
        </w:rPr>
      </w:pPr>
    </w:p>
    <w:p w:rsidR="006D7ECC" w:rsidRDefault="006D7ECC" w:rsidP="006D7ECC">
      <w:pPr>
        <w:pStyle w:val="Sinespaciado"/>
        <w:ind w:left="567"/>
        <w:jc w:val="both"/>
        <w:rPr>
          <w:rFonts w:ascii="Times New Roman" w:hAnsi="Times New Roman" w:cs="Times New Roman"/>
          <w:b/>
          <w:sz w:val="24"/>
          <w:szCs w:val="24"/>
          <w:lang w:val="es-ES_tradnl"/>
        </w:rPr>
      </w:pPr>
    </w:p>
    <w:p w:rsidR="006D7ECC" w:rsidRPr="00AE3761" w:rsidRDefault="006D7ECC" w:rsidP="006D7ECC">
      <w:pPr>
        <w:pStyle w:val="Sinespaciado"/>
        <w:ind w:left="567"/>
        <w:jc w:val="both"/>
        <w:rPr>
          <w:rFonts w:ascii="Times New Roman" w:hAnsi="Times New Roman" w:cs="Times New Roman"/>
          <w:b/>
          <w:sz w:val="24"/>
          <w:szCs w:val="24"/>
          <w:lang w:val="es-ES_tradnl"/>
        </w:rPr>
      </w:pPr>
    </w:p>
    <w:p w:rsidR="006D7ECC" w:rsidRPr="00AE3761" w:rsidRDefault="006D7ECC" w:rsidP="006D7ECC">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6D7ECC" w:rsidRDefault="006D7ECC" w:rsidP="006D7ECC">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rsidR="006D7ECC" w:rsidRDefault="006D7ECC" w:rsidP="006D7ECC">
      <w:pPr>
        <w:pStyle w:val="Default"/>
        <w:ind w:left="567"/>
        <w:jc w:val="both"/>
        <w:rPr>
          <w:rFonts w:ascii="Times New Roman" w:hAnsi="Times New Roman" w:cs="Times New Roman"/>
          <w:b/>
          <w:bCs/>
          <w:szCs w:val="23"/>
        </w:rPr>
      </w:pPr>
    </w:p>
    <w:p w:rsidR="006D7ECC" w:rsidRDefault="006D7ECC" w:rsidP="006D7ECC">
      <w:pPr>
        <w:pStyle w:val="Default"/>
        <w:ind w:left="567"/>
        <w:jc w:val="both"/>
        <w:rPr>
          <w:rFonts w:ascii="Times New Roman" w:hAnsi="Times New Roman" w:cs="Times New Roman"/>
          <w:b/>
          <w:bCs/>
          <w:szCs w:val="23"/>
        </w:rPr>
      </w:pPr>
    </w:p>
    <w:p w:rsidR="006D7ECC" w:rsidRDefault="006D7ECC" w:rsidP="006D7ECC">
      <w:pPr>
        <w:pStyle w:val="Default"/>
        <w:ind w:left="567"/>
        <w:jc w:val="both"/>
        <w:rPr>
          <w:rFonts w:ascii="Times New Roman" w:hAnsi="Times New Roman" w:cs="Times New Roman"/>
          <w:b/>
          <w:bCs/>
          <w:szCs w:val="23"/>
        </w:rPr>
      </w:pPr>
    </w:p>
    <w:p w:rsidR="006D7ECC" w:rsidRDefault="006D7ECC" w:rsidP="006D7ECC">
      <w:pPr>
        <w:pStyle w:val="Default"/>
        <w:ind w:left="567"/>
        <w:jc w:val="both"/>
        <w:rPr>
          <w:rFonts w:ascii="Times New Roman" w:hAnsi="Times New Roman" w:cs="Times New Roman"/>
          <w:b/>
          <w:bCs/>
          <w:szCs w:val="23"/>
        </w:rPr>
      </w:pPr>
    </w:p>
    <w:p w:rsidR="006D7ECC" w:rsidRDefault="006D7ECC" w:rsidP="006D7ECC">
      <w:pPr>
        <w:pStyle w:val="Default"/>
        <w:ind w:left="567"/>
        <w:jc w:val="both"/>
        <w:rPr>
          <w:rFonts w:ascii="Times New Roman" w:hAnsi="Times New Roman" w:cs="Times New Roman"/>
          <w:b/>
          <w:bCs/>
          <w:szCs w:val="23"/>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Default="000D214C" w:rsidP="006D7ECC">
      <w:pPr>
        <w:jc w:val="center"/>
        <w:rPr>
          <w:rFonts w:ascii="Times New Roman" w:hAnsi="Times New Roman" w:cs="Times New Roman"/>
          <w:b/>
          <w:sz w:val="24"/>
          <w:szCs w:val="24"/>
          <w:lang w:val="es-ES_tradnl"/>
        </w:rPr>
      </w:pPr>
    </w:p>
    <w:p w:rsidR="000D214C" w:rsidRPr="00B91559" w:rsidRDefault="000D214C" w:rsidP="006D7ECC">
      <w:pPr>
        <w:jc w:val="center"/>
        <w:rPr>
          <w:rFonts w:ascii="Times New Roman" w:hAnsi="Times New Roman" w:cs="Times New Roman"/>
          <w:b/>
          <w:sz w:val="24"/>
          <w:szCs w:val="24"/>
          <w:lang w:val="es-ES_tradnl"/>
        </w:rPr>
      </w:pPr>
    </w:p>
    <w:p w:rsidR="006D7ECC" w:rsidRDefault="006D7ECC" w:rsidP="006D7ECC">
      <w:pPr>
        <w:jc w:val="center"/>
        <w:rPr>
          <w:rFonts w:ascii="Times New Roman" w:hAnsi="Times New Roman" w:cs="Times New Roman"/>
          <w:b/>
          <w:sz w:val="24"/>
          <w:szCs w:val="24"/>
        </w:rPr>
      </w:pPr>
      <w:r w:rsidRPr="00B91559">
        <w:rPr>
          <w:rFonts w:ascii="Times New Roman" w:hAnsi="Times New Roman" w:cs="Times New Roman"/>
          <w:b/>
          <w:sz w:val="24"/>
          <w:szCs w:val="24"/>
        </w:rPr>
        <w:t xml:space="preserve">PROYECTO DE LEY NÚMERO </w:t>
      </w:r>
      <w:r w:rsidR="0011133A">
        <w:rPr>
          <w:rFonts w:ascii="Times New Roman" w:hAnsi="Times New Roman" w:cs="Times New Roman"/>
          <w:b/>
          <w:sz w:val="24"/>
          <w:szCs w:val="24"/>
        </w:rPr>
        <w:t>282</w:t>
      </w:r>
      <w:r>
        <w:rPr>
          <w:rFonts w:ascii="Times New Roman" w:hAnsi="Times New Roman" w:cs="Times New Roman"/>
          <w:b/>
          <w:sz w:val="24"/>
          <w:szCs w:val="24"/>
        </w:rPr>
        <w:t xml:space="preserve"> DE 20</w:t>
      </w:r>
      <w:r w:rsidR="0011133A">
        <w:rPr>
          <w:rFonts w:ascii="Times New Roman" w:hAnsi="Times New Roman" w:cs="Times New Roman"/>
          <w:b/>
          <w:sz w:val="24"/>
          <w:szCs w:val="24"/>
        </w:rPr>
        <w:t>20</w:t>
      </w:r>
      <w:r>
        <w:rPr>
          <w:rFonts w:ascii="Times New Roman" w:hAnsi="Times New Roman" w:cs="Times New Roman"/>
          <w:b/>
          <w:sz w:val="24"/>
          <w:szCs w:val="24"/>
        </w:rPr>
        <w:t xml:space="preserve"> CÁMARA</w:t>
      </w:r>
    </w:p>
    <w:p w:rsidR="006D7ECC" w:rsidRDefault="006D7ECC" w:rsidP="006D7ECC">
      <w:pPr>
        <w:jc w:val="center"/>
        <w:rPr>
          <w:rFonts w:ascii="Times New Roman" w:hAnsi="Times New Roman" w:cs="Times New Roman"/>
          <w:b/>
          <w:sz w:val="24"/>
          <w:szCs w:val="24"/>
        </w:rPr>
      </w:pPr>
      <w:r w:rsidRPr="00547A7A">
        <w:rPr>
          <w:rFonts w:ascii="Times New Roman" w:hAnsi="Times New Roman" w:cs="Times New Roman"/>
          <w:b/>
          <w:sz w:val="24"/>
          <w:szCs w:val="24"/>
        </w:rPr>
        <w:lastRenderedPageBreak/>
        <w:t>“por el cual se crea la declaración de conocimiento, acogimiento y aceptación de la Constitución Política de Colombia y se dictan otras disposiciones relacionadas”</w:t>
      </w:r>
    </w:p>
    <w:p w:rsidR="006D7ECC" w:rsidRDefault="006D7ECC" w:rsidP="006D7ECC">
      <w:pPr>
        <w:jc w:val="center"/>
        <w:rPr>
          <w:rFonts w:ascii="Times New Roman" w:hAnsi="Times New Roman" w:cs="Times New Roman"/>
          <w:b/>
          <w:sz w:val="24"/>
          <w:szCs w:val="24"/>
        </w:rPr>
      </w:pPr>
    </w:p>
    <w:p w:rsidR="006D7ECC" w:rsidRDefault="006D7ECC" w:rsidP="006D7ECC">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6D7ECC" w:rsidRPr="00B91559" w:rsidRDefault="006D7ECC" w:rsidP="006D7ECC">
      <w:pPr>
        <w:jc w:val="center"/>
        <w:rPr>
          <w:rFonts w:ascii="Times New Roman" w:hAnsi="Times New Roman" w:cs="Times New Roman"/>
          <w:b/>
          <w:sz w:val="24"/>
          <w:szCs w:val="24"/>
        </w:rPr>
      </w:pPr>
    </w:p>
    <w:p w:rsidR="006D7ECC" w:rsidRDefault="006D7ECC" w:rsidP="006D7ECC">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6D7ECC" w:rsidRPr="0011133A" w:rsidRDefault="006D7ECC" w:rsidP="006D7ECC">
      <w:pPr>
        <w:jc w:val="center"/>
        <w:rPr>
          <w:rFonts w:ascii="Times New Roman" w:hAnsi="Times New Roman" w:cs="Times New Roman"/>
          <w:b/>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1. Objeto. </w:t>
      </w:r>
      <w:r w:rsidRPr="0011133A">
        <w:rPr>
          <w:rFonts w:ascii="Times" w:hAnsi="Times" w:cs="Arial"/>
          <w:sz w:val="24"/>
          <w:szCs w:val="24"/>
        </w:rPr>
        <w:t>La presente ley tiene por objeto crear un procedimiento por cual se declare el conocimiento, el acogimiento y la aceptación de la Constitución Política como acto previo y voluntario al momento de obtener la Cédula de Ciudadanía.</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2. Definición. </w:t>
      </w:r>
      <w:r w:rsidRPr="0011133A">
        <w:rPr>
          <w:rFonts w:ascii="Times" w:hAnsi="Times" w:cs="Arial"/>
          <w:sz w:val="24"/>
          <w:szCs w:val="24"/>
        </w:rPr>
        <w:t>La Declaración de conocimiento, acogimiento y aceptación de la Constitución es un acto solemne en el que los ciudadanos declaran voluntariamente que son conscientes de los derechos y deberes emanados de la Carta Política y se obligan a respetarlos.</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3. Formulario de solicitud individual de cédula de ciudadanía. </w:t>
      </w:r>
      <w:r w:rsidRPr="0011133A">
        <w:rPr>
          <w:rFonts w:ascii="Times" w:hAnsi="Times" w:cs="Arial"/>
          <w:sz w:val="24"/>
          <w:szCs w:val="24"/>
        </w:rPr>
        <w:t xml:space="preserve">Antes de la expedición de la cédula de ciudadanía, el interesado deberá suscribir un formulario de solicitud. El formulario indicará la página web oficial donde se puede consultar el texto íntegro y actualizado de la Constitución Política de Colombia, y deberá contener antes de la firma la siguiente declaración: </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i/>
          <w:iCs/>
          <w:sz w:val="24"/>
          <w:szCs w:val="24"/>
        </w:rPr>
        <w:t>“Declaro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y libertades de las demás personas”.</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sz w:val="24"/>
          <w:szCs w:val="24"/>
        </w:rPr>
        <w:t>La firma puesta en este formulario se entiende plasmada bajo la gravedad del juramento.</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sz w:val="24"/>
          <w:szCs w:val="24"/>
        </w:rPr>
        <w:lastRenderedPageBreak/>
        <w:t>El formulario también deberá incluir un espacio en blanco en el que cada solicitante podrá plasmar, libre de apremio, sus observaciones y aun sus eventuales desacuerdos con el texto de la Constitución Política. Anualmente la Registraduría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sz w:val="24"/>
          <w:szCs w:val="24"/>
        </w:rPr>
        <w:t>El formulario será gratuito.</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ARTÍCULO 4. Entrega de la cédula de ciudadanía.</w:t>
      </w:r>
      <w:r w:rsidRPr="0011133A">
        <w:rPr>
          <w:rFonts w:ascii="Times" w:hAnsi="Times" w:cs="Arial"/>
          <w:sz w:val="24"/>
          <w:szCs w:val="24"/>
        </w:rPr>
        <w:t xml:space="preserve"> La entrega del documento de identidad al ciudadano, que llenare el formulario, se hará en ceremonia solemne, que podrá ser individual o colectiva, donde se tome el juramento y se recite de viva voz la declaración de aceptación y acogimiento a la Constitución Política. La Registraduría Nacional del Estado Civil deberá velar por que en esa ceremonia se le entregue a cada uno de los ciudadanos una copia gratuita de la Constitución Política, ya sea de forma física o digital.</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sz w:val="24"/>
          <w:szCs w:val="24"/>
        </w:rPr>
        <w:t>El Instituto Nacional para Ciegos y la Registraduría Nacional del Estado Civil entregarán un ejemplar de la Constitución apto para las personas con discapacidad visual.</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b/>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5. Retroactividad de la ley. </w:t>
      </w:r>
      <w:r w:rsidRPr="0011133A">
        <w:rPr>
          <w:rFonts w:ascii="Times" w:hAnsi="Times" w:cs="Arial"/>
          <w:sz w:val="24"/>
          <w:szCs w:val="24"/>
        </w:rPr>
        <w:t>Si algún ciudadano que ya posea su cédula de ciudadanía desea hacer la Declaración, podrá hacerlo de forma gratuita en cualquier Registraduría.</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ARTÍCULO 6. Requisito para tomar posesión de cualquier cargo público</w:t>
      </w:r>
      <w:r w:rsidRPr="0011133A">
        <w:rPr>
          <w:rFonts w:ascii="Times" w:hAnsi="Times" w:cs="Arial"/>
          <w:sz w:val="24"/>
          <w:szCs w:val="24"/>
        </w:rPr>
        <w:t>. La Declaración será un requisito indispensable para tomar posesión de cualquier cargo como servidor público a partir de la vigencia de la presente ley.</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7. Declaración para las personas con discapacidad mayores de edad. </w:t>
      </w:r>
      <w:r w:rsidRPr="0011133A">
        <w:rPr>
          <w:rFonts w:ascii="Times" w:hAnsi="Times" w:cs="Arial"/>
          <w:sz w:val="24"/>
          <w:szCs w:val="24"/>
        </w:rPr>
        <w:t xml:space="preserve">Las personas mayores de edad en condición de discapacidad rendirán la declaración de la que trata la presente ley, conforme con los mecanismos establecidos legalmente en lo </w:t>
      </w:r>
      <w:r w:rsidRPr="0011133A">
        <w:rPr>
          <w:rFonts w:ascii="Times" w:hAnsi="Times" w:cs="Arial"/>
          <w:sz w:val="24"/>
          <w:szCs w:val="24"/>
        </w:rPr>
        <w:lastRenderedPageBreak/>
        <w:t>concerniente a los apoyos para la realización de actos jurídicos. La Registraduría Nacional del Estado Civil reglamentará la materia.</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8. Formulario para las personas con discapacidad visual. </w:t>
      </w:r>
      <w:r w:rsidRPr="0011133A">
        <w:rPr>
          <w:rFonts w:ascii="Times" w:hAnsi="Times" w:cs="Arial"/>
          <w:sz w:val="24"/>
          <w:szCs w:val="24"/>
        </w:rPr>
        <w:t>La Registraduría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sz w:val="24"/>
          <w:szCs w:val="24"/>
        </w:rPr>
        <w:t>El Instituto Nacional para Ciegos actualizará anualmente la Constitución disponible en esa biblioteca virtual.</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9. Declaración para las personas pertenecientes a comunidades étnicas que no se comunican en castellano. </w:t>
      </w:r>
      <w:r w:rsidRPr="0011133A">
        <w:rPr>
          <w:rFonts w:ascii="Times" w:hAnsi="Times" w:cs="Arial"/>
          <w:sz w:val="24"/>
          <w:szCs w:val="24"/>
        </w:rPr>
        <w:t>La declaración para las personas pertenecientes a comunidades étnicas que no se comunican en castellano sólo será obligatoria hasta tanto una ley posterior reglamente la materia para garantizar un enfoque diferencial.</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10. Extranjeros. </w:t>
      </w:r>
      <w:r w:rsidRPr="0011133A">
        <w:rPr>
          <w:rFonts w:ascii="Times" w:hAnsi="Times" w:cs="Arial"/>
          <w:sz w:val="24"/>
          <w:szCs w:val="24"/>
        </w:rPr>
        <w:t>Esta ley no aplica para los extranjeros que soliciten su naturalización en Colombia, que se regirá por lo dispuesto en la Ley 43 de 1993.</w:t>
      </w:r>
    </w:p>
    <w:p w:rsidR="0011133A" w:rsidRPr="0011133A" w:rsidRDefault="0011133A" w:rsidP="0011133A">
      <w:pPr>
        <w:jc w:val="both"/>
        <w:rPr>
          <w:rFonts w:ascii="Times" w:hAnsi="Times" w:cs="Arial"/>
          <w:sz w:val="24"/>
          <w:szCs w:val="24"/>
        </w:rPr>
      </w:pPr>
    </w:p>
    <w:p w:rsidR="0011133A" w:rsidRPr="0011133A" w:rsidRDefault="0011133A" w:rsidP="0011133A">
      <w:pPr>
        <w:jc w:val="both"/>
        <w:rPr>
          <w:rFonts w:ascii="Times" w:hAnsi="Times" w:cs="Arial"/>
          <w:sz w:val="24"/>
          <w:szCs w:val="24"/>
        </w:rPr>
      </w:pPr>
      <w:r w:rsidRPr="0011133A">
        <w:rPr>
          <w:rFonts w:ascii="Times" w:hAnsi="Times" w:cs="Arial"/>
          <w:b/>
          <w:sz w:val="24"/>
          <w:szCs w:val="24"/>
        </w:rPr>
        <w:t xml:space="preserve">ARTÍCULO 11. Vigencia. </w:t>
      </w:r>
      <w:r w:rsidRPr="0011133A">
        <w:rPr>
          <w:rFonts w:ascii="Times" w:hAnsi="Times" w:cs="Arial"/>
          <w:sz w:val="24"/>
          <w:szCs w:val="24"/>
        </w:rPr>
        <w:t>La presente ley empezará a regir seis (6) meses después de su sanción y publicación.</w:t>
      </w:r>
    </w:p>
    <w:p w:rsidR="006D7ECC" w:rsidRPr="00B91559" w:rsidRDefault="006D7ECC" w:rsidP="006D7ECC">
      <w:pPr>
        <w:pStyle w:val="Sinespaciado"/>
        <w:jc w:val="both"/>
        <w:rPr>
          <w:rFonts w:ascii="Times New Roman" w:hAnsi="Times New Roman" w:cs="Times New Roman"/>
          <w:sz w:val="24"/>
          <w:szCs w:val="24"/>
          <w:lang w:val="es-ES_tradnl"/>
        </w:rPr>
      </w:pPr>
    </w:p>
    <w:p w:rsidR="0011133A" w:rsidRDefault="0011133A" w:rsidP="006D7ECC">
      <w:pPr>
        <w:pStyle w:val="Sinespaciado"/>
        <w:jc w:val="both"/>
        <w:rPr>
          <w:rFonts w:ascii="Times New Roman" w:hAnsi="Times New Roman" w:cs="Times New Roman"/>
          <w:sz w:val="24"/>
          <w:szCs w:val="24"/>
          <w:lang w:val="es-ES_tradnl"/>
        </w:rPr>
      </w:pPr>
    </w:p>
    <w:p w:rsidR="0011133A" w:rsidRDefault="0011133A" w:rsidP="006D7ECC">
      <w:pPr>
        <w:pStyle w:val="Sinespaciado"/>
        <w:jc w:val="both"/>
        <w:rPr>
          <w:rFonts w:ascii="Times New Roman" w:hAnsi="Times New Roman" w:cs="Times New Roman"/>
          <w:sz w:val="24"/>
          <w:szCs w:val="24"/>
          <w:lang w:val="es-ES_tradnl"/>
        </w:rPr>
      </w:pPr>
    </w:p>
    <w:p w:rsidR="006D7ECC" w:rsidRPr="00B91559" w:rsidRDefault="006D7ECC" w:rsidP="006D7ECC">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6D7ECC" w:rsidRPr="00B91559" w:rsidRDefault="006D7ECC" w:rsidP="006D7ECC">
      <w:pPr>
        <w:pStyle w:val="Sinespaciado"/>
        <w:jc w:val="both"/>
        <w:rPr>
          <w:rFonts w:ascii="Times New Roman" w:hAnsi="Times New Roman" w:cs="Times New Roman"/>
          <w:sz w:val="24"/>
          <w:szCs w:val="24"/>
          <w:lang w:val="es-ES_tradnl"/>
        </w:rPr>
      </w:pPr>
    </w:p>
    <w:p w:rsidR="006D7ECC" w:rsidRDefault="006D7ECC" w:rsidP="006D7ECC">
      <w:pPr>
        <w:pStyle w:val="Sinespaciado"/>
        <w:jc w:val="both"/>
        <w:rPr>
          <w:rFonts w:ascii="Times New Roman" w:hAnsi="Times New Roman" w:cs="Times New Roman"/>
          <w:sz w:val="24"/>
          <w:szCs w:val="24"/>
          <w:lang w:val="es-ES_tradnl"/>
        </w:rPr>
      </w:pPr>
    </w:p>
    <w:p w:rsidR="006D7ECC" w:rsidRDefault="006D7ECC" w:rsidP="006D7ECC">
      <w:pPr>
        <w:pStyle w:val="Sinespaciado"/>
        <w:jc w:val="both"/>
        <w:rPr>
          <w:rFonts w:ascii="Times New Roman" w:hAnsi="Times New Roman" w:cs="Times New Roman"/>
          <w:sz w:val="24"/>
          <w:szCs w:val="24"/>
          <w:lang w:val="es-ES_tradnl"/>
        </w:rPr>
      </w:pPr>
    </w:p>
    <w:p w:rsidR="006D7ECC" w:rsidRDefault="006D7ECC" w:rsidP="006D7ECC">
      <w:pPr>
        <w:pStyle w:val="Sinespaciado"/>
        <w:jc w:val="both"/>
        <w:rPr>
          <w:rFonts w:ascii="Times New Roman" w:hAnsi="Times New Roman" w:cs="Times New Roman"/>
          <w:sz w:val="24"/>
          <w:szCs w:val="24"/>
          <w:lang w:val="es-ES_tradnl"/>
        </w:rPr>
      </w:pPr>
    </w:p>
    <w:p w:rsidR="006D7ECC" w:rsidRPr="00B91559" w:rsidRDefault="006D7ECC" w:rsidP="006D7ECC">
      <w:pPr>
        <w:pStyle w:val="Sinespaciado"/>
        <w:jc w:val="both"/>
        <w:rPr>
          <w:rFonts w:ascii="Times New Roman" w:hAnsi="Times New Roman" w:cs="Times New Roman"/>
          <w:sz w:val="24"/>
          <w:szCs w:val="24"/>
          <w:lang w:val="es-ES_tradnl"/>
        </w:rPr>
      </w:pPr>
    </w:p>
    <w:p w:rsidR="006D7ECC" w:rsidRPr="00C264AC" w:rsidRDefault="006D7ECC" w:rsidP="006D7ECC">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rsidR="006D7ECC" w:rsidRPr="00C264AC" w:rsidRDefault="006D7ECC" w:rsidP="006D7ECC">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rsidR="006D7ECC" w:rsidRDefault="006D7ECC" w:rsidP="006D7ECC"/>
    <w:p w:rsidR="006D7ECC" w:rsidRDefault="006D7ECC"/>
    <w:sectPr w:rsidR="006D7ECC" w:rsidSect="002405D4">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7ECC" w:rsidRDefault="006D7ECC" w:rsidP="006D7ECC">
      <w:pPr>
        <w:spacing w:after="0" w:line="240" w:lineRule="auto"/>
      </w:pPr>
      <w:r>
        <w:separator/>
      </w:r>
    </w:p>
  </w:endnote>
  <w:endnote w:type="continuationSeparator" w:id="0">
    <w:p w:rsidR="006D7ECC" w:rsidRDefault="006D7ECC" w:rsidP="006D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540447"/>
      <w:docPartObj>
        <w:docPartGallery w:val="Page Numbers (Bottom of Page)"/>
        <w:docPartUnique/>
      </w:docPartObj>
    </w:sdtPr>
    <w:sdtEndPr/>
    <w:sdtContent>
      <w:p w:rsidR="000B5AC2" w:rsidRDefault="000E6F33">
        <w:pPr>
          <w:pStyle w:val="Piedepgina"/>
          <w:ind w:right="-864"/>
          <w:jc w:val="right"/>
        </w:pPr>
        <w:r>
          <w:rPr>
            <w:noProof/>
            <w:lang w:eastAsia="es-CO"/>
          </w:rPr>
          <mc:AlternateContent>
            <mc:Choice Requires="wpg">
              <w:drawing>
                <wp:inline distT="0" distB="0" distL="0" distR="0" wp14:anchorId="433D4596" wp14:editId="20A3652F">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C2" w:rsidRDefault="000E6F33">
                                <w:pPr>
                                  <w:rPr>
                                    <w:color w:val="FFFFFF" w:themeColor="background1"/>
                                  </w:rPr>
                                </w:pPr>
                                <w:r>
                                  <w:fldChar w:fldCharType="begin"/>
                                </w:r>
                                <w:r>
                                  <w:instrText>PAGE    \* MERGEFORMAT</w:instrText>
                                </w:r>
                                <w:r>
                                  <w:fldChar w:fldCharType="separate"/>
                                </w:r>
                                <w:r w:rsidRPr="00294918">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33D4596"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0B5AC2" w:rsidRDefault="000E6F33">
                          <w:pPr>
                            <w:rPr>
                              <w:color w:val="FFFFFF" w:themeColor="background1"/>
                            </w:rPr>
                          </w:pPr>
                          <w:r>
                            <w:fldChar w:fldCharType="begin"/>
                          </w:r>
                          <w:r>
                            <w:instrText>PAGE    \* MERGEFORMAT</w:instrText>
                          </w:r>
                          <w:r>
                            <w:fldChar w:fldCharType="separate"/>
                          </w:r>
                          <w:r w:rsidRPr="00294918">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0B5AC2" w:rsidRDefault="001B4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7ECC" w:rsidRDefault="006D7ECC" w:rsidP="006D7ECC">
      <w:pPr>
        <w:spacing w:after="0" w:line="240" w:lineRule="auto"/>
      </w:pPr>
      <w:r>
        <w:separator/>
      </w:r>
    </w:p>
  </w:footnote>
  <w:footnote w:type="continuationSeparator" w:id="0">
    <w:p w:rsidR="006D7ECC" w:rsidRDefault="006D7ECC" w:rsidP="006D7ECC">
      <w:pPr>
        <w:spacing w:after="0" w:line="240" w:lineRule="auto"/>
      </w:pPr>
      <w:r>
        <w:continuationSeparator/>
      </w:r>
    </w:p>
  </w:footnote>
  <w:footnote w:id="1">
    <w:p w:rsidR="000D214C" w:rsidRPr="00A1635C" w:rsidRDefault="000D214C" w:rsidP="000D214C">
      <w:pPr>
        <w:pStyle w:val="Textonotapie"/>
        <w:spacing w:line="276" w:lineRule="auto"/>
        <w:jc w:val="both"/>
        <w:rPr>
          <w:rFonts w:ascii="Arial" w:hAnsi="Arial" w:cs="Arial"/>
        </w:rPr>
      </w:pPr>
      <w:r w:rsidRPr="00A1635C">
        <w:rPr>
          <w:rStyle w:val="Refdenotaalpie"/>
          <w:rFonts w:ascii="Arial" w:hAnsi="Arial" w:cs="Arial"/>
        </w:rPr>
        <w:footnoteRef/>
      </w:r>
      <w:r w:rsidRPr="00A1635C">
        <w:rPr>
          <w:rFonts w:ascii="Arial" w:hAnsi="Arial" w:cs="Arial"/>
        </w:rPr>
        <w:t xml:space="preserve"> DANE, </w:t>
      </w:r>
      <w:r w:rsidRPr="00A1635C">
        <w:rPr>
          <w:rFonts w:ascii="Arial" w:hAnsi="Arial" w:cs="Arial"/>
          <w:i/>
        </w:rPr>
        <w:t>Boletín Técnico: Encuesta de Cultura Política 2017</w:t>
      </w:r>
      <w:r w:rsidRPr="00A1635C">
        <w:rPr>
          <w:rFonts w:ascii="Arial" w:hAnsi="Arial" w:cs="Arial"/>
        </w:rPr>
        <w:t>, PDF, Bogotá: DANE, Se</w:t>
      </w:r>
      <w:r>
        <w:rPr>
          <w:rFonts w:ascii="Arial" w:hAnsi="Arial" w:cs="Arial"/>
        </w:rPr>
        <w:t>ptiembre</w:t>
      </w:r>
      <w:r w:rsidRPr="00A1635C">
        <w:rPr>
          <w:rFonts w:ascii="Arial" w:hAnsi="Arial" w:cs="Arial"/>
        </w:rPr>
        <w:t xml:space="preserve"> 28, 2017.</w:t>
      </w:r>
    </w:p>
  </w:footnote>
  <w:footnote w:id="2">
    <w:p w:rsidR="000D214C" w:rsidRPr="00D37C99" w:rsidRDefault="000D214C" w:rsidP="000D214C">
      <w:pPr>
        <w:pStyle w:val="Textonotapie"/>
        <w:spacing w:line="276" w:lineRule="auto"/>
        <w:jc w:val="both"/>
        <w:rPr>
          <w:rFonts w:ascii="Arial" w:hAnsi="Arial" w:cs="Arial"/>
        </w:rPr>
      </w:pPr>
      <w:r w:rsidRPr="00D37C99">
        <w:rPr>
          <w:rStyle w:val="Refdenotaalpie"/>
          <w:rFonts w:ascii="Arial" w:hAnsi="Arial" w:cs="Arial"/>
        </w:rPr>
        <w:footnoteRef/>
      </w:r>
      <w:r w:rsidRPr="00D37C99">
        <w:rPr>
          <w:rFonts w:ascii="Arial" w:hAnsi="Arial" w:cs="Arial"/>
        </w:rPr>
        <w:t xml:space="preserve"> Julieta Lemaitre Ripoll y Mauricio Albarracín Caballero, "Patrullando la dosis personal: la represión cotidiana y los debates de políticas públicas sobre el consumo de drogas ilícitas en Colombia," en </w:t>
      </w:r>
      <w:r w:rsidRPr="00D37C99">
        <w:rPr>
          <w:rFonts w:ascii="Arial" w:hAnsi="Arial" w:cs="Arial"/>
          <w:i/>
        </w:rPr>
        <w:t>Políticas antidroga En Colombia: Éxitos, fracasos y extravíos</w:t>
      </w:r>
      <w:r w:rsidRPr="00D37C99">
        <w:rPr>
          <w:rFonts w:ascii="Arial" w:hAnsi="Arial" w:cs="Arial"/>
        </w:rPr>
        <w:t xml:space="preserve"> (Bogotá: Universidad de los Andes, 2011).</w:t>
      </w:r>
    </w:p>
  </w:footnote>
  <w:footnote w:id="3">
    <w:p w:rsidR="000D214C" w:rsidRPr="00F81E99" w:rsidRDefault="000D214C" w:rsidP="000D214C">
      <w:pPr>
        <w:pStyle w:val="Textonotapie"/>
        <w:spacing w:line="276" w:lineRule="auto"/>
        <w:jc w:val="both"/>
        <w:rPr>
          <w:rFonts w:ascii="Arial" w:hAnsi="Arial" w:cs="Arial"/>
        </w:rPr>
      </w:pPr>
      <w:r w:rsidRPr="00D37C99">
        <w:rPr>
          <w:rStyle w:val="Refdenotaalpie"/>
          <w:rFonts w:ascii="Arial" w:hAnsi="Arial" w:cs="Arial"/>
        </w:rPr>
        <w:footnoteRef/>
      </w:r>
      <w:r w:rsidRPr="00D37C99">
        <w:rPr>
          <w:rFonts w:ascii="Arial" w:hAnsi="Arial" w:cs="Arial"/>
        </w:rPr>
        <w:t xml:space="preserve"> Julieta Lemaitre Ripoll, "alcances de la reforma legal: la prohibición de despido a la mujer embarazada en Colombia," en</w:t>
      </w:r>
      <w:r w:rsidRPr="00D37C99">
        <w:rPr>
          <w:rFonts w:ascii="Arial" w:hAnsi="Arial" w:cs="Arial"/>
          <w:i/>
        </w:rPr>
        <w:t xml:space="preserve"> Más allá del derecho: Justicia y Género en América Latina</w:t>
      </w:r>
      <w:r w:rsidRPr="00D37C99">
        <w:rPr>
          <w:rFonts w:ascii="Arial" w:hAnsi="Arial" w:cs="Arial"/>
        </w:rPr>
        <w:t>, Equidad y Justicia (Bogotá: Universidad de los Andes, 2005).</w:t>
      </w:r>
    </w:p>
  </w:footnote>
  <w:footnote w:id="4">
    <w:p w:rsidR="000D214C" w:rsidRPr="00163AB9" w:rsidRDefault="000D214C" w:rsidP="000D214C">
      <w:pPr>
        <w:pStyle w:val="Textonotapie"/>
        <w:spacing w:line="276" w:lineRule="auto"/>
        <w:jc w:val="both"/>
        <w:rPr>
          <w:rFonts w:ascii="Arial" w:hAnsi="Arial" w:cs="Arial"/>
        </w:rPr>
      </w:pPr>
      <w:r w:rsidRPr="00163AB9">
        <w:rPr>
          <w:rStyle w:val="Refdenotaalpie"/>
          <w:rFonts w:ascii="Arial" w:hAnsi="Arial" w:cs="Arial"/>
        </w:rPr>
        <w:footnoteRef/>
      </w:r>
      <w:r w:rsidRPr="00163AB9">
        <w:rPr>
          <w:rFonts w:ascii="Arial" w:hAnsi="Arial" w:cs="Arial"/>
        </w:rPr>
        <w:t xml:space="preserve"> Laura Cecilia Porras Santanilla, </w:t>
      </w:r>
      <w:r w:rsidRPr="00163AB9">
        <w:rPr>
          <w:rFonts w:ascii="Arial" w:hAnsi="Arial" w:cs="Arial"/>
          <w:i/>
        </w:rPr>
        <w:t>“Viviendo Del Rebusque:” A Study of How Law Affects Street Rebuscadores in Bogotá</w:t>
      </w:r>
      <w:r w:rsidRPr="00163AB9">
        <w:rPr>
          <w:rFonts w:ascii="Arial" w:hAnsi="Arial" w:cs="Arial"/>
        </w:rPr>
        <w:t xml:space="preserve">, </w:t>
      </w:r>
      <w:r>
        <w:rPr>
          <w:rFonts w:ascii="Arial" w:hAnsi="Arial" w:cs="Arial"/>
        </w:rPr>
        <w:t>Tesis de doctorado</w:t>
      </w:r>
      <w:r w:rsidRPr="00163AB9">
        <w:rPr>
          <w:rFonts w:ascii="Arial" w:hAnsi="Arial" w:cs="Arial"/>
        </w:rPr>
        <w:t>, University of Ottawa, 2018 (Ottawa, 2018).</w:t>
      </w:r>
    </w:p>
  </w:footnote>
  <w:footnote w:id="5">
    <w:p w:rsidR="000D214C" w:rsidRPr="00C10C3D" w:rsidRDefault="000D214C" w:rsidP="000D214C">
      <w:pPr>
        <w:pStyle w:val="Textonotapie"/>
        <w:spacing w:line="276" w:lineRule="auto"/>
        <w:jc w:val="both"/>
        <w:rPr>
          <w:rFonts w:ascii="Arial" w:hAnsi="Arial" w:cs="Arial"/>
        </w:rPr>
      </w:pPr>
      <w:r w:rsidRPr="00C10C3D">
        <w:rPr>
          <w:rStyle w:val="Refdenotaalpie"/>
          <w:rFonts w:ascii="Arial" w:hAnsi="Arial" w:cs="Arial"/>
        </w:rPr>
        <w:footnoteRef/>
      </w:r>
      <w:r w:rsidRPr="00C10C3D">
        <w:rPr>
          <w:rFonts w:ascii="Arial" w:hAnsi="Arial" w:cs="Arial"/>
        </w:rPr>
        <w:t xml:space="preserve"> </w:t>
      </w:r>
      <w:r>
        <w:rPr>
          <w:rFonts w:ascii="Arial" w:hAnsi="Arial" w:cs="Arial"/>
        </w:rPr>
        <w:t>Congreso de l</w:t>
      </w:r>
      <w:r w:rsidRPr="00C10C3D">
        <w:rPr>
          <w:rFonts w:ascii="Arial" w:hAnsi="Arial" w:cs="Arial"/>
        </w:rPr>
        <w:t>a República, "TEXTO CONCILIADO AL PROYECTO DE LEY NÚMERO 027 DE 2017 CÁMARA</w:t>
      </w:r>
      <w:r>
        <w:rPr>
          <w:rFonts w:ascii="Arial" w:hAnsi="Arial" w:cs="Arial"/>
        </w:rPr>
        <w:t xml:space="preserve"> Y 236 DE 2018 SENADO," </w:t>
      </w:r>
      <w:r w:rsidRPr="00C10C3D">
        <w:rPr>
          <w:rFonts w:ascii="Arial" w:hAnsi="Arial" w:cs="Arial"/>
          <w:i/>
        </w:rPr>
        <w:t>Gaceta del Congreso</w:t>
      </w:r>
      <w:r>
        <w:rPr>
          <w:rFonts w:ascii="Arial" w:hAnsi="Arial" w:cs="Arial"/>
        </w:rPr>
        <w:t xml:space="preserve"> (Bogotá), Junio </w:t>
      </w:r>
      <w:r w:rsidRPr="00C10C3D">
        <w:rPr>
          <w:rFonts w:ascii="Arial" w:hAnsi="Arial" w:cs="Arial"/>
        </w:rPr>
        <w:t>17, 2019, Nº560 ed.</w:t>
      </w:r>
    </w:p>
  </w:footnote>
  <w:footnote w:id="6">
    <w:p w:rsidR="000D214C" w:rsidRPr="00F00270" w:rsidRDefault="000D214C" w:rsidP="000D214C">
      <w:pPr>
        <w:pStyle w:val="Textonotapie"/>
        <w:spacing w:line="276" w:lineRule="auto"/>
        <w:jc w:val="both"/>
        <w:rPr>
          <w:rFonts w:ascii="Arial" w:hAnsi="Arial" w:cs="Arial"/>
        </w:rPr>
      </w:pPr>
      <w:r w:rsidRPr="00F00270">
        <w:rPr>
          <w:rStyle w:val="Refdenotaalpie"/>
          <w:rFonts w:ascii="Arial" w:hAnsi="Arial" w:cs="Arial"/>
        </w:rPr>
        <w:footnoteRef/>
      </w:r>
      <w:r w:rsidRPr="00F00270">
        <w:rPr>
          <w:rFonts w:ascii="Arial" w:hAnsi="Arial" w:cs="Arial"/>
        </w:rPr>
        <w:t xml:space="preserve"> Véanse, entre otras, las sentencias SU-123/18 (MM.PP. Albero Rojas Ríos, Rodrigo Uprimny Yepes), SU-217/17 (M.P. María Victoria Calle Correa), SU-097/17 (M.P. María Victoria Calle Correa), SU-083/03 (M.P. Álvaro Tafur Galvis).</w:t>
      </w:r>
    </w:p>
  </w:footnote>
  <w:footnote w:id="7">
    <w:p w:rsidR="000D214C" w:rsidRPr="008429A7" w:rsidRDefault="000D214C" w:rsidP="000D214C">
      <w:pPr>
        <w:pStyle w:val="Textonotapie"/>
        <w:spacing w:line="276" w:lineRule="auto"/>
        <w:jc w:val="both"/>
        <w:rPr>
          <w:rFonts w:ascii="Arial" w:hAnsi="Arial" w:cs="Arial"/>
        </w:rPr>
      </w:pPr>
      <w:r w:rsidRPr="008429A7">
        <w:rPr>
          <w:rStyle w:val="Refdenotaalpie"/>
          <w:rFonts w:ascii="Arial" w:hAnsi="Arial" w:cs="Arial"/>
        </w:rPr>
        <w:footnoteRef/>
      </w:r>
      <w:r w:rsidRPr="008429A7">
        <w:rPr>
          <w:rFonts w:ascii="Arial" w:hAnsi="Arial" w:cs="Arial"/>
        </w:rPr>
        <w:t xml:space="preserve"> Jhon Rawls, "The Idea Of An Overlapping Consensus," </w:t>
      </w:r>
      <w:r w:rsidRPr="008429A7">
        <w:rPr>
          <w:rFonts w:ascii="Arial" w:hAnsi="Arial" w:cs="Arial"/>
          <w:i/>
        </w:rPr>
        <w:t>Oxford Journal of Legal Studies</w:t>
      </w:r>
      <w:r w:rsidRPr="008429A7">
        <w:rPr>
          <w:rFonts w:ascii="Arial" w:hAnsi="Arial" w:cs="Arial"/>
        </w:rPr>
        <w:t xml:space="preserve"> 7, no. 1 (marzo 1, 1987): 1-16.</w:t>
      </w:r>
    </w:p>
  </w:footnote>
  <w:footnote w:id="8">
    <w:p w:rsidR="000D214C" w:rsidRPr="00550F3E" w:rsidRDefault="000D214C" w:rsidP="000D214C">
      <w:pPr>
        <w:pStyle w:val="Textonotapie"/>
        <w:jc w:val="both"/>
        <w:rPr>
          <w:rFonts w:ascii="Arial" w:hAnsi="Arial" w:cs="Arial"/>
        </w:rPr>
      </w:pPr>
      <w:r w:rsidRPr="00550F3E">
        <w:rPr>
          <w:rStyle w:val="Refdenotaalpie"/>
          <w:rFonts w:ascii="Arial" w:hAnsi="Arial" w:cs="Arial"/>
        </w:rPr>
        <w:footnoteRef/>
      </w:r>
      <w:r w:rsidRPr="00550F3E">
        <w:rPr>
          <w:rFonts w:ascii="Arial" w:hAnsi="Arial" w:cs="Arial"/>
        </w:rPr>
        <w:t xml:space="preserve"> Juan Fernando Jaramillo Pérez </w:t>
      </w:r>
      <w:r w:rsidRPr="00550F3E">
        <w:rPr>
          <w:rFonts w:ascii="Arial" w:hAnsi="Arial" w:cs="Arial"/>
          <w:i/>
        </w:rPr>
        <w:t>et al</w:t>
      </w:r>
      <w:r w:rsidRPr="00550F3E">
        <w:rPr>
          <w:rFonts w:ascii="Arial" w:hAnsi="Arial" w:cs="Arial"/>
        </w:rPr>
        <w:t xml:space="preserve">., </w:t>
      </w:r>
      <w:r w:rsidRPr="00550F3E">
        <w:rPr>
          <w:rFonts w:ascii="Arial" w:hAnsi="Arial" w:cs="Arial"/>
          <w:i/>
        </w:rPr>
        <w:t>El Derecho frente al poder: surgimiento, desarrollo y crítica del Constitucionalismo Moderno</w:t>
      </w:r>
      <w:r w:rsidRPr="00550F3E">
        <w:rPr>
          <w:rFonts w:ascii="Arial" w:hAnsi="Arial" w:cs="Arial"/>
        </w:rPr>
        <w:t xml:space="preserve"> (Bogotá: Universidad Nacional De Colombia, 2018).</w:t>
      </w:r>
    </w:p>
  </w:footnote>
  <w:footnote w:id="9">
    <w:p w:rsidR="000D214C" w:rsidRPr="008B6F5D" w:rsidRDefault="000D214C" w:rsidP="000D214C">
      <w:pPr>
        <w:pStyle w:val="Textonotapie"/>
        <w:spacing w:line="276" w:lineRule="auto"/>
        <w:jc w:val="both"/>
        <w:rPr>
          <w:rFonts w:ascii="Arial" w:hAnsi="Arial" w:cs="Arial"/>
        </w:rPr>
      </w:pPr>
      <w:r w:rsidRPr="008429A7">
        <w:rPr>
          <w:rStyle w:val="Refdenotaalpie"/>
          <w:rFonts w:ascii="Arial" w:hAnsi="Arial" w:cs="Arial"/>
        </w:rPr>
        <w:footnoteRef/>
      </w:r>
      <w:r w:rsidRPr="008429A7">
        <w:rPr>
          <w:rFonts w:ascii="Arial" w:hAnsi="Arial" w:cs="Arial"/>
        </w:rPr>
        <w:t xml:space="preserve"> Jorge Andrés Herná</w:t>
      </w:r>
      <w:r>
        <w:rPr>
          <w:rFonts w:ascii="Arial" w:hAnsi="Arial" w:cs="Arial"/>
        </w:rPr>
        <w:t>ndez Vásquez, "La Constitución de Colombia de 1991 y sus e</w:t>
      </w:r>
      <w:r w:rsidRPr="008429A7">
        <w:rPr>
          <w:rFonts w:ascii="Arial" w:hAnsi="Arial" w:cs="Arial"/>
        </w:rPr>
        <w:t xml:space="preserve">nemigos. El </w:t>
      </w:r>
      <w:r>
        <w:rPr>
          <w:rFonts w:ascii="Arial" w:hAnsi="Arial" w:cs="Arial"/>
        </w:rPr>
        <w:t>fracaso d</w:t>
      </w:r>
      <w:r w:rsidRPr="008B6F5D">
        <w:rPr>
          <w:rFonts w:ascii="Arial" w:hAnsi="Arial" w:cs="Arial"/>
        </w:rPr>
        <w:t xml:space="preserve">el Consenso Constitucional," </w:t>
      </w:r>
      <w:r w:rsidRPr="008B6F5D">
        <w:rPr>
          <w:rFonts w:ascii="Arial" w:hAnsi="Arial" w:cs="Arial"/>
          <w:i/>
        </w:rPr>
        <w:t>Colombia Internacional</w:t>
      </w:r>
      <w:r w:rsidRPr="008B6F5D">
        <w:rPr>
          <w:rFonts w:ascii="Arial" w:hAnsi="Arial" w:cs="Arial"/>
        </w:rPr>
        <w:t xml:space="preserve"> 79 (2013): 49-79.</w:t>
      </w:r>
    </w:p>
  </w:footnote>
  <w:footnote w:id="10">
    <w:p w:rsidR="000D214C" w:rsidRPr="008B6F5D" w:rsidRDefault="000D214C" w:rsidP="000D214C">
      <w:pPr>
        <w:pStyle w:val="Textonotapie"/>
        <w:spacing w:line="276" w:lineRule="auto"/>
        <w:rPr>
          <w:rFonts w:ascii="Arial" w:hAnsi="Arial" w:cs="Arial"/>
        </w:rPr>
      </w:pPr>
      <w:r w:rsidRPr="008B6F5D">
        <w:rPr>
          <w:rStyle w:val="Refdenotaalpie"/>
          <w:rFonts w:ascii="Arial" w:hAnsi="Arial" w:cs="Arial"/>
        </w:rPr>
        <w:footnoteRef/>
      </w:r>
      <w:r w:rsidRPr="008B6F5D">
        <w:rPr>
          <w:rFonts w:ascii="Arial" w:hAnsi="Arial" w:cs="Arial"/>
        </w:rPr>
        <w:t xml:space="preserve"> Corte Constitucional, Sentencia T-406/92, M.P. Ciro Angarita Barón.</w:t>
      </w:r>
    </w:p>
  </w:footnote>
  <w:footnote w:id="11">
    <w:p w:rsidR="000D214C" w:rsidRDefault="000D214C" w:rsidP="000D214C">
      <w:pPr>
        <w:pStyle w:val="Textonotapie"/>
        <w:spacing w:line="276" w:lineRule="auto"/>
      </w:pPr>
      <w:r w:rsidRPr="008B6F5D">
        <w:rPr>
          <w:rStyle w:val="Refdenotaalpie"/>
          <w:rFonts w:ascii="Arial" w:hAnsi="Arial" w:cs="Arial"/>
        </w:rPr>
        <w:footnoteRef/>
      </w:r>
      <w:r w:rsidRPr="008B6F5D">
        <w:rPr>
          <w:rFonts w:ascii="Arial" w:hAnsi="Arial" w:cs="Arial"/>
        </w:rPr>
        <w:t xml:space="preserve"> David Held, </w:t>
      </w:r>
      <w:r>
        <w:rPr>
          <w:rFonts w:ascii="Arial" w:hAnsi="Arial" w:cs="Arial"/>
          <w:i/>
        </w:rPr>
        <w:t>Modelos d</w:t>
      </w:r>
      <w:r w:rsidRPr="008B6F5D">
        <w:rPr>
          <w:rFonts w:ascii="Arial" w:hAnsi="Arial" w:cs="Arial"/>
          <w:i/>
        </w:rPr>
        <w:t>e Democracia</w:t>
      </w:r>
      <w:r w:rsidRPr="008B6F5D">
        <w:rPr>
          <w:rFonts w:ascii="Arial" w:hAnsi="Arial" w:cs="Arial"/>
        </w:rPr>
        <w:t xml:space="preserve"> (Buenos Aires: Troquel, 1996), 1-56.</w:t>
      </w:r>
    </w:p>
  </w:footnote>
  <w:footnote w:id="12">
    <w:p w:rsidR="000D214C" w:rsidRPr="00B378EB" w:rsidRDefault="000D214C" w:rsidP="000D214C">
      <w:pPr>
        <w:pStyle w:val="Textonotapie"/>
        <w:rPr>
          <w:rFonts w:ascii="Arial" w:hAnsi="Arial" w:cs="Arial"/>
        </w:rPr>
      </w:pPr>
      <w:r w:rsidRPr="00B378EB">
        <w:rPr>
          <w:rStyle w:val="Refdenotaalpie"/>
          <w:rFonts w:ascii="Arial" w:hAnsi="Arial" w:cs="Arial"/>
        </w:rPr>
        <w:footnoteRef/>
      </w:r>
      <w:r w:rsidRPr="00B378EB">
        <w:rPr>
          <w:rFonts w:ascii="Arial" w:hAnsi="Arial" w:cs="Arial"/>
        </w:rPr>
        <w:t xml:space="preserve"> Corte Constitucional, Sentencia C-241/10, M.P. Juan Carlos Henao Pérez.</w:t>
      </w:r>
    </w:p>
  </w:footnote>
  <w:footnote w:id="13">
    <w:p w:rsidR="000D214C" w:rsidRPr="00B378EB" w:rsidRDefault="000D214C" w:rsidP="000D214C">
      <w:pPr>
        <w:pStyle w:val="Textonotapie"/>
        <w:rPr>
          <w:rFonts w:ascii="Arial" w:hAnsi="Arial" w:cs="Arial"/>
        </w:rPr>
      </w:pPr>
      <w:r w:rsidRPr="00B378EB">
        <w:rPr>
          <w:rStyle w:val="Refdenotaalpie"/>
          <w:rFonts w:ascii="Arial" w:hAnsi="Arial" w:cs="Arial"/>
        </w:rPr>
        <w:footnoteRef/>
      </w:r>
      <w:r w:rsidRPr="00B378EB">
        <w:rPr>
          <w:rFonts w:ascii="Arial" w:hAnsi="Arial" w:cs="Arial"/>
        </w:rPr>
        <w:t xml:space="preserve"> Corte Constitucional, Sentencia C-150/15, M.P. Mauricio González Cuervo.</w:t>
      </w:r>
    </w:p>
  </w:footnote>
  <w:footnote w:id="14">
    <w:p w:rsidR="000D214C" w:rsidRDefault="000D214C" w:rsidP="000D214C">
      <w:pPr>
        <w:pStyle w:val="Textonotapie"/>
      </w:pPr>
      <w:r w:rsidRPr="00B378EB">
        <w:rPr>
          <w:rStyle w:val="Refdenotaalpie"/>
          <w:rFonts w:ascii="Arial" w:hAnsi="Arial" w:cs="Arial"/>
        </w:rPr>
        <w:footnoteRef/>
      </w:r>
      <w:r w:rsidRPr="00B378EB">
        <w:rPr>
          <w:rFonts w:ascii="Arial" w:hAnsi="Arial" w:cs="Arial"/>
        </w:rPr>
        <w:t xml:space="preserve"> Corte Constitucional, Sentencia C-379/16, M.P. Luis Ernesto Vargas Silva.</w:t>
      </w:r>
    </w:p>
  </w:footnote>
  <w:footnote w:id="15">
    <w:p w:rsidR="000D214C" w:rsidRPr="00B378EB" w:rsidRDefault="000D214C" w:rsidP="000D214C">
      <w:pPr>
        <w:pStyle w:val="Textonotapie"/>
        <w:jc w:val="both"/>
        <w:rPr>
          <w:rFonts w:ascii="Arial" w:hAnsi="Arial" w:cs="Arial"/>
        </w:rPr>
      </w:pPr>
      <w:r w:rsidRPr="00B378EB">
        <w:rPr>
          <w:rStyle w:val="Refdenotaalpie"/>
          <w:rFonts w:ascii="Arial" w:hAnsi="Arial" w:cs="Arial"/>
        </w:rPr>
        <w:footnoteRef/>
      </w:r>
      <w:r w:rsidRPr="00B378EB">
        <w:rPr>
          <w:rFonts w:ascii="Arial" w:hAnsi="Arial" w:cs="Arial"/>
        </w:rPr>
        <w:t xml:space="preserve"> Marco Antonio Rivera León, "Jurisdicción Constitucional: Ecos Del Argumento Contramayoritario," </w:t>
      </w:r>
      <w:r w:rsidRPr="00B378EB">
        <w:rPr>
          <w:rFonts w:ascii="Arial" w:hAnsi="Arial" w:cs="Arial"/>
          <w:i/>
        </w:rPr>
        <w:t>Cuestiones Constitucionales</w:t>
      </w:r>
      <w:r w:rsidRPr="00B378EB">
        <w:rPr>
          <w:rFonts w:ascii="Arial" w:hAnsi="Arial" w:cs="Arial"/>
        </w:rPr>
        <w:t xml:space="preserve"> 22 (2010): 223-260.</w:t>
      </w:r>
    </w:p>
  </w:footnote>
  <w:footnote w:id="16">
    <w:p w:rsidR="000D214C" w:rsidRDefault="000D214C" w:rsidP="000D214C">
      <w:pPr>
        <w:pStyle w:val="Textonotapie"/>
        <w:jc w:val="both"/>
      </w:pPr>
      <w:r>
        <w:rPr>
          <w:rStyle w:val="Refdenotaalpie"/>
        </w:rPr>
        <w:footnoteRef/>
      </w:r>
      <w:r>
        <w:t xml:space="preserve"> </w:t>
      </w:r>
      <w:r w:rsidRPr="008429A7">
        <w:rPr>
          <w:rFonts w:ascii="Arial" w:hAnsi="Arial" w:cs="Arial"/>
        </w:rPr>
        <w:t>Jorge Andrés Herná</w:t>
      </w:r>
      <w:r>
        <w:rPr>
          <w:rFonts w:ascii="Arial" w:hAnsi="Arial" w:cs="Arial"/>
        </w:rPr>
        <w:t xml:space="preserve">ndez Vásquez, </w:t>
      </w:r>
      <w:r w:rsidRPr="000C52FE">
        <w:rPr>
          <w:rFonts w:ascii="Arial" w:hAnsi="Arial" w:cs="Arial"/>
          <w:i/>
        </w:rPr>
        <w:t>op. cit</w:t>
      </w:r>
      <w:r>
        <w:rPr>
          <w:rFonts w:ascii="Arial" w:hAnsi="Arial" w:cs="Arial"/>
        </w:rPr>
        <w:t>.</w:t>
      </w:r>
      <w:r w:rsidRPr="008B6F5D">
        <w:rPr>
          <w:rFonts w:ascii="Arial" w:hAnsi="Arial" w:cs="Arial"/>
        </w:rPr>
        <w:t xml:space="preserve">: </w:t>
      </w:r>
      <w:r>
        <w:rPr>
          <w:rFonts w:ascii="Arial" w:hAnsi="Arial" w:cs="Arial"/>
        </w:rPr>
        <w:t>54</w:t>
      </w:r>
      <w:r w:rsidRPr="008B6F5D">
        <w:rPr>
          <w:rFonts w:ascii="Arial" w:hAnsi="Arial" w:cs="Arial"/>
        </w:rPr>
        <w:t>.</w:t>
      </w:r>
    </w:p>
  </w:footnote>
  <w:footnote w:id="17">
    <w:p w:rsidR="006D7ECC" w:rsidRPr="00141557" w:rsidRDefault="006D7ECC" w:rsidP="006D7ECC">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Pedro De Vega García, “Mundialización y Derecho Constitucional: La Crisis Del Principio Democrático En El Constitucionalismo Actual,” </w:t>
      </w:r>
      <w:r w:rsidRPr="00141557">
        <w:rPr>
          <w:rFonts w:ascii="Times New Roman" w:hAnsi="Times New Roman" w:cs="Times New Roman"/>
          <w:i/>
          <w:sz w:val="16"/>
          <w:szCs w:val="18"/>
        </w:rPr>
        <w:t>Revista De Estudios Políticos</w:t>
      </w:r>
      <w:r w:rsidRPr="00141557">
        <w:rPr>
          <w:rFonts w:ascii="Times New Roman" w:hAnsi="Times New Roman" w:cs="Times New Roman"/>
          <w:sz w:val="16"/>
          <w:szCs w:val="18"/>
        </w:rPr>
        <w:t xml:space="preserve"> 100 (1998): pp. 13-56.</w:t>
      </w:r>
    </w:p>
  </w:footnote>
  <w:footnote w:id="18">
    <w:p w:rsidR="006D7ECC" w:rsidRPr="00141557" w:rsidRDefault="006D7ECC" w:rsidP="006D7ECC">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Jhon Rawls, "The Idea Of An Overlapping Consensus," </w:t>
      </w:r>
      <w:r w:rsidRPr="00141557">
        <w:rPr>
          <w:rFonts w:ascii="Times New Roman" w:hAnsi="Times New Roman" w:cs="Times New Roman"/>
          <w:i/>
          <w:sz w:val="16"/>
          <w:szCs w:val="18"/>
        </w:rPr>
        <w:t>Oxford Journal of Legal Studies</w:t>
      </w:r>
      <w:r w:rsidRPr="00141557">
        <w:rPr>
          <w:rFonts w:ascii="Times New Roman" w:hAnsi="Times New Roman" w:cs="Times New Roman"/>
          <w:sz w:val="16"/>
          <w:szCs w:val="18"/>
        </w:rPr>
        <w:t xml:space="preserve"> 7, no. 1 (Marzo 1, 1987): 1-16.</w:t>
      </w:r>
    </w:p>
  </w:footnote>
  <w:footnote w:id="19">
    <w:p w:rsidR="006D7ECC" w:rsidRPr="00141557" w:rsidRDefault="006D7ECC" w:rsidP="006D7ECC">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Karl Loewenstein, “Militant Democracy and Fundamental Rights, I,” </w:t>
      </w:r>
      <w:r w:rsidRPr="00141557">
        <w:rPr>
          <w:rFonts w:ascii="Times New Roman" w:hAnsi="Times New Roman" w:cs="Times New Roman"/>
          <w:i/>
          <w:sz w:val="16"/>
          <w:szCs w:val="18"/>
        </w:rPr>
        <w:t>The American Political Science Review</w:t>
      </w:r>
      <w:r w:rsidRPr="00141557">
        <w:rPr>
          <w:rFonts w:ascii="Times New Roman" w:hAnsi="Times New Roman" w:cs="Times New Roman"/>
          <w:sz w:val="16"/>
          <w:szCs w:val="18"/>
        </w:rPr>
        <w:t xml:space="preserve"> 31, no. 3 (Junio 1937): pp. 417-432.</w:t>
      </w:r>
    </w:p>
  </w:footnote>
  <w:footnote w:id="20">
    <w:p w:rsidR="006D7ECC" w:rsidRPr="00141557" w:rsidRDefault="006D7ECC" w:rsidP="006D7ECC">
      <w:pPr>
        <w:pStyle w:val="Textonotapie"/>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Carlos Bernal Pulido, </w:t>
      </w:r>
      <w:r w:rsidRPr="00141557">
        <w:rPr>
          <w:rFonts w:ascii="Times New Roman" w:hAnsi="Times New Roman" w:cs="Times New Roman"/>
          <w:i/>
          <w:sz w:val="16"/>
          <w:szCs w:val="18"/>
        </w:rPr>
        <w:t xml:space="preserve">El Derecho De Los Derechos </w:t>
      </w:r>
      <w:r w:rsidRPr="00141557">
        <w:rPr>
          <w:rFonts w:ascii="Times New Roman" w:hAnsi="Times New Roman" w:cs="Times New Roman"/>
          <w:sz w:val="16"/>
          <w:szCs w:val="18"/>
        </w:rPr>
        <w:t>(Bogotá: Universidad Externado de Colombia, 2007).</w:t>
      </w:r>
    </w:p>
  </w:footnote>
  <w:footnote w:id="21">
    <w:p w:rsidR="006D7ECC" w:rsidRPr="00141557" w:rsidRDefault="006D7ECC" w:rsidP="006D7ECC">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Rodolfo Arango Rivadeneira, </w:t>
      </w:r>
      <w:r w:rsidRPr="00141557">
        <w:rPr>
          <w:rFonts w:ascii="Times New Roman" w:hAnsi="Times New Roman" w:cs="Times New Roman"/>
          <w:i/>
          <w:sz w:val="16"/>
          <w:szCs w:val="18"/>
        </w:rPr>
        <w:t>El Concepto De Derechos Sociales Fundamentales</w:t>
      </w:r>
      <w:r w:rsidRPr="00141557">
        <w:rPr>
          <w:rFonts w:ascii="Times New Roman" w:hAnsi="Times New Roman" w:cs="Times New Roman"/>
          <w:sz w:val="16"/>
          <w:szCs w:val="18"/>
        </w:rPr>
        <w:t xml:space="preserve"> (Bogotá: Legis, 2012).</w:t>
      </w:r>
    </w:p>
  </w:footnote>
  <w:footnote w:id="22">
    <w:p w:rsidR="006D7ECC" w:rsidRPr="00141557" w:rsidRDefault="006D7ECC" w:rsidP="006D7ECC">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Graciela Ruocco, “La ‘Buena Administración’ y El ‘Interés General,’” </w:t>
      </w:r>
      <w:r w:rsidRPr="00141557">
        <w:rPr>
          <w:rFonts w:ascii="Times New Roman" w:hAnsi="Times New Roman" w:cs="Times New Roman"/>
          <w:i/>
          <w:sz w:val="16"/>
          <w:szCs w:val="18"/>
        </w:rPr>
        <w:t>Revista De Direito Administrativo &amp; Constitucional</w:t>
      </w:r>
      <w:r w:rsidRPr="00141557">
        <w:rPr>
          <w:rFonts w:ascii="Times New Roman" w:hAnsi="Times New Roman" w:cs="Times New Roman"/>
          <w:sz w:val="16"/>
          <w:szCs w:val="18"/>
        </w:rPr>
        <w:t xml:space="preserve"> 12, no. 49 (2012): pp. 27-45.</w:t>
      </w:r>
    </w:p>
  </w:footnote>
  <w:footnote w:id="23">
    <w:p w:rsidR="006D7ECC" w:rsidRPr="00141557" w:rsidRDefault="006D7ECC" w:rsidP="006D7ECC">
      <w:pPr>
        <w:pStyle w:val="Textonotapie"/>
        <w:jc w:val="both"/>
        <w:rPr>
          <w:rFonts w:ascii="Times New Roman" w:hAnsi="Times New Roman" w:cs="Times New Roman"/>
          <w:i/>
          <w:sz w:val="16"/>
          <w:szCs w:val="18"/>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Jorge Ramírez Plascencia, “Durkheim y las representaciones colectivas”, en </w:t>
      </w:r>
      <w:r w:rsidRPr="00141557">
        <w:rPr>
          <w:rFonts w:ascii="Times New Roman" w:hAnsi="Times New Roman" w:cs="Times New Roman"/>
          <w:i/>
          <w:sz w:val="16"/>
          <w:szCs w:val="18"/>
        </w:rPr>
        <w:t>Representaciones sociales. Teoría e investigación</w:t>
      </w:r>
      <w:r w:rsidRPr="00141557">
        <w:rPr>
          <w:rFonts w:ascii="Times New Roman" w:hAnsi="Times New Roman" w:cs="Times New Roman"/>
          <w:sz w:val="16"/>
          <w:szCs w:val="18"/>
        </w:rPr>
        <w:t>, ed. Tania Rodríguez Salazar y María de Lourdes García Curiel (Chicago: Guadalajara, 2007), 17-50.</w:t>
      </w:r>
    </w:p>
  </w:footnote>
  <w:footnote w:id="24">
    <w:p w:rsidR="006D7ECC" w:rsidRPr="00FC4123" w:rsidRDefault="006D7ECC" w:rsidP="006D7ECC">
      <w:pPr>
        <w:jc w:val="both"/>
        <w:rPr>
          <w:rFonts w:ascii="Arial" w:hAnsi="Arial" w:cs="Arial"/>
          <w:sz w:val="20"/>
          <w:szCs w:val="20"/>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Rocío Mercedes Araújo Oñate, “Acceso a La Justicia y Tutela Judicial Efectiva. Propuesta Para Fortalecer La Justicia Administrativa. Visión De Derecho Comparado,” </w:t>
      </w:r>
      <w:r w:rsidRPr="00141557">
        <w:rPr>
          <w:rFonts w:ascii="Times New Roman" w:hAnsi="Times New Roman" w:cs="Times New Roman"/>
          <w:i/>
          <w:sz w:val="16"/>
          <w:szCs w:val="18"/>
        </w:rPr>
        <w:t>Revista De Estudios Socio-Jurídicos</w:t>
      </w:r>
      <w:r w:rsidRPr="00141557">
        <w:rPr>
          <w:rFonts w:ascii="Times New Roman" w:hAnsi="Times New Roman" w:cs="Times New Roman"/>
          <w:sz w:val="16"/>
          <w:szCs w:val="18"/>
        </w:rPr>
        <w:t xml:space="preserve"> 13, no. 1 (2011): pp. 247-291.</w:t>
      </w:r>
    </w:p>
  </w:footnote>
  <w:footnote w:id="25">
    <w:p w:rsidR="006D7ECC" w:rsidRPr="00141557" w:rsidRDefault="006D7ECC" w:rsidP="006D7ECC">
      <w:pPr>
        <w:pStyle w:val="Textonotapie"/>
        <w:jc w:val="both"/>
        <w:rPr>
          <w:rFonts w:ascii="Times New Roman" w:hAnsi="Times New Roman" w:cs="Times New Roman"/>
          <w:sz w:val="16"/>
          <w:lang w:val="es-ES_tradnl"/>
        </w:rPr>
      </w:pPr>
      <w:r w:rsidRPr="00141557">
        <w:rPr>
          <w:rStyle w:val="Refdenotaalpie"/>
          <w:rFonts w:ascii="Times New Roman" w:hAnsi="Times New Roman" w:cs="Times New Roman"/>
          <w:sz w:val="16"/>
        </w:rPr>
        <w:footnoteRef/>
      </w:r>
      <w:r w:rsidRPr="00141557">
        <w:rPr>
          <w:rFonts w:ascii="Times New Roman" w:hAnsi="Times New Roman" w:cs="Times New Roman"/>
          <w:sz w:val="16"/>
        </w:rPr>
        <w:t xml:space="preserve"> Juan Antonio Horrach Miralle, “Sobre El Concepto De Ciudadanía: Historia y Modelos,” </w:t>
      </w:r>
      <w:r w:rsidRPr="00141557">
        <w:rPr>
          <w:rFonts w:ascii="Times New Roman" w:hAnsi="Times New Roman" w:cs="Times New Roman"/>
          <w:i/>
          <w:sz w:val="16"/>
        </w:rPr>
        <w:t xml:space="preserve">Revista De Filosofía Factórum </w:t>
      </w:r>
      <w:r w:rsidRPr="00141557">
        <w:rPr>
          <w:rFonts w:ascii="Times New Roman" w:hAnsi="Times New Roman" w:cs="Times New Roman"/>
          <w:sz w:val="16"/>
        </w:rPr>
        <w:t>6 (2009): pp. 1-22.</w:t>
      </w:r>
    </w:p>
  </w:footnote>
  <w:footnote w:id="26">
    <w:p w:rsidR="006D7ECC" w:rsidRPr="00572674" w:rsidRDefault="006D7ECC" w:rsidP="006D7ECC">
      <w:pPr>
        <w:pStyle w:val="Textonotapie"/>
        <w:rPr>
          <w:rFonts w:ascii="Arial" w:hAnsi="Arial" w:cs="Arial"/>
          <w:lang w:val="es-ES_tradnl"/>
        </w:rPr>
      </w:pPr>
      <w:r w:rsidRPr="00141557">
        <w:rPr>
          <w:rStyle w:val="Refdenotaalpie"/>
          <w:rFonts w:ascii="Times New Roman" w:hAnsi="Times New Roman" w:cs="Times New Roman"/>
          <w:sz w:val="16"/>
        </w:rPr>
        <w:footnoteRef/>
      </w:r>
      <w:r w:rsidRPr="00141557">
        <w:rPr>
          <w:rFonts w:ascii="Times New Roman" w:hAnsi="Times New Roman" w:cs="Times New Roman"/>
          <w:sz w:val="16"/>
        </w:rPr>
        <w:t xml:space="preserve"> Daniel Bonilla Maldonado, </w:t>
      </w:r>
      <w:r w:rsidRPr="00141557">
        <w:rPr>
          <w:rFonts w:ascii="Times New Roman" w:hAnsi="Times New Roman" w:cs="Times New Roman"/>
          <w:i/>
          <w:sz w:val="16"/>
        </w:rPr>
        <w:t>La Ciudadanía Multicultural y La Política Del Reconocimiento</w:t>
      </w:r>
      <w:r w:rsidRPr="00141557">
        <w:rPr>
          <w:rFonts w:ascii="Times New Roman" w:hAnsi="Times New Roman" w:cs="Times New Roman"/>
          <w:sz w:val="16"/>
        </w:rPr>
        <w:t xml:space="preserve"> (Bogotá: Ediciones Uniandes,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5AC2" w:rsidRDefault="000E6F33" w:rsidP="000B5AC2">
    <w:pPr>
      <w:pStyle w:val="Encabezado"/>
      <w:jc w:val="center"/>
    </w:pPr>
    <w:r>
      <w:rPr>
        <w:noProof/>
        <w:lang w:eastAsia="es-CO"/>
      </w:rPr>
      <w:drawing>
        <wp:inline distT="0" distB="0" distL="0" distR="0" wp14:anchorId="10C2A1B1" wp14:editId="15C1B4AE">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0B5AC2" w:rsidRDefault="001B4BF3" w:rsidP="000B5AC2">
    <w:pPr>
      <w:pStyle w:val="Encabezado"/>
      <w:jc w:val="center"/>
    </w:pPr>
  </w:p>
  <w:p w:rsidR="00AE3761" w:rsidRDefault="001B4BF3" w:rsidP="000B5A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C"/>
    <w:rsid w:val="000D214C"/>
    <w:rsid w:val="000E6F33"/>
    <w:rsid w:val="0011133A"/>
    <w:rsid w:val="001B4BF3"/>
    <w:rsid w:val="005A4755"/>
    <w:rsid w:val="006D7ECC"/>
    <w:rsid w:val="00767CA5"/>
    <w:rsid w:val="009B0E53"/>
    <w:rsid w:val="00AF7E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1695E40"/>
  <w15:chartTrackingRefBased/>
  <w15:docId w15:val="{14E0AE5B-BF79-F847-9D85-A733E38A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CC"/>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7ECC"/>
    <w:rPr>
      <w:sz w:val="22"/>
      <w:szCs w:val="22"/>
    </w:rPr>
  </w:style>
  <w:style w:type="paragraph" w:styleId="Encabezado">
    <w:name w:val="header"/>
    <w:basedOn w:val="Normal"/>
    <w:link w:val="EncabezadoCar"/>
    <w:uiPriority w:val="99"/>
    <w:unhideWhenUsed/>
    <w:rsid w:val="006D7E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ECC"/>
    <w:rPr>
      <w:sz w:val="22"/>
      <w:szCs w:val="22"/>
    </w:rPr>
  </w:style>
  <w:style w:type="paragraph" w:styleId="Piedepgina">
    <w:name w:val="footer"/>
    <w:basedOn w:val="Normal"/>
    <w:link w:val="PiedepginaCar"/>
    <w:uiPriority w:val="99"/>
    <w:unhideWhenUsed/>
    <w:rsid w:val="006D7E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ECC"/>
    <w:rPr>
      <w:sz w:val="22"/>
      <w:szCs w:val="22"/>
    </w:rPr>
  </w:style>
  <w:style w:type="paragraph" w:customStyle="1" w:styleId="Default">
    <w:name w:val="Default"/>
    <w:rsid w:val="006D7ECC"/>
    <w:pPr>
      <w:autoSpaceDE w:val="0"/>
      <w:autoSpaceDN w:val="0"/>
      <w:adjustRightInd w:val="0"/>
    </w:pPr>
    <w:rPr>
      <w:rFonts w:ascii="Bookman Old Style" w:hAnsi="Bookman Old Style" w:cs="Bookman Old Style"/>
      <w:color w:val="000000"/>
    </w:rPr>
  </w:style>
  <w:style w:type="character" w:customStyle="1" w:styleId="charoverride-30">
    <w:name w:val="charoverride-30"/>
    <w:basedOn w:val="Fuentedeprrafopredeter"/>
    <w:rsid w:val="006D7ECC"/>
  </w:style>
  <w:style w:type="paragraph" w:styleId="Textonotapie">
    <w:name w:val="footnote text"/>
    <w:basedOn w:val="Normal"/>
    <w:link w:val="TextonotapieCar"/>
    <w:uiPriority w:val="99"/>
    <w:unhideWhenUsed/>
    <w:rsid w:val="006D7ECC"/>
    <w:pPr>
      <w:spacing w:after="0" w:line="240" w:lineRule="auto"/>
    </w:pPr>
    <w:rPr>
      <w:sz w:val="20"/>
      <w:szCs w:val="20"/>
    </w:rPr>
  </w:style>
  <w:style w:type="character" w:customStyle="1" w:styleId="TextonotapieCar">
    <w:name w:val="Texto nota pie Car"/>
    <w:basedOn w:val="Fuentedeprrafopredeter"/>
    <w:link w:val="Textonotapie"/>
    <w:uiPriority w:val="99"/>
    <w:rsid w:val="006D7ECC"/>
    <w:rPr>
      <w:sz w:val="20"/>
      <w:szCs w:val="20"/>
    </w:rPr>
  </w:style>
  <w:style w:type="character" w:styleId="Refdenotaalpie">
    <w:name w:val="footnote reference"/>
    <w:basedOn w:val="Fuentedeprrafopredeter"/>
    <w:uiPriority w:val="99"/>
    <w:unhideWhenUsed/>
    <w:rsid w:val="006D7ECC"/>
    <w:rPr>
      <w:vertAlign w:val="superscript"/>
    </w:rPr>
  </w:style>
  <w:style w:type="paragraph" w:styleId="Prrafodelista">
    <w:name w:val="List Paragraph"/>
    <w:basedOn w:val="Normal"/>
    <w:uiPriority w:val="34"/>
    <w:qFormat/>
    <w:rsid w:val="006D7ECC"/>
    <w:pPr>
      <w:ind w:left="720"/>
      <w:contextualSpacing/>
    </w:pPr>
  </w:style>
  <w:style w:type="paragraph" w:styleId="Textodeglobo">
    <w:name w:val="Balloon Text"/>
    <w:basedOn w:val="Normal"/>
    <w:link w:val="TextodegloboCar"/>
    <w:uiPriority w:val="99"/>
    <w:semiHidden/>
    <w:unhideWhenUsed/>
    <w:rsid w:val="000E6F3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E6F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3381</Words>
  <Characters>18600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3</cp:revision>
  <cp:lastPrinted>2020-09-21T19:11:00Z</cp:lastPrinted>
  <dcterms:created xsi:type="dcterms:W3CDTF">2020-09-21T19:11:00Z</dcterms:created>
  <dcterms:modified xsi:type="dcterms:W3CDTF">2020-09-21T19:11:00Z</dcterms:modified>
</cp:coreProperties>
</file>